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DE11" w14:textId="77777777" w:rsidR="009C1DAD" w:rsidRPr="00051C03" w:rsidRDefault="009C1DAD" w:rsidP="009C1DAD">
      <w:pPr>
        <w:pStyle w:val="Heading1"/>
      </w:pPr>
      <w:bookmarkStart w:id="0" w:name="_Toc268252787"/>
      <w:bookmarkStart w:id="1" w:name="_GoBack"/>
      <w:bookmarkEnd w:id="1"/>
      <w:r w:rsidRPr="00FC38A5">
        <w:t>Interviewing the headteacher</w:t>
      </w:r>
      <w:bookmarkEnd w:id="0"/>
    </w:p>
    <w:p w14:paraId="2D13F709" w14:textId="77777777" w:rsidR="009C1DAD" w:rsidRDefault="009C1DAD" w:rsidP="009C1DAD">
      <w:pPr>
        <w:pStyle w:val="Unnumberedparagraph"/>
      </w:pPr>
      <w:r w:rsidRPr="00051C03">
        <w:t>Possible questions to consider</w:t>
      </w:r>
      <w:r>
        <w:t xml:space="preserve"> – this is not a definitive list.</w:t>
      </w:r>
    </w:p>
    <w:p w14:paraId="71F8EB55" w14:textId="77777777" w:rsidR="009C1DAD" w:rsidRDefault="009C1DAD" w:rsidP="009C1DAD">
      <w:pPr>
        <w:pStyle w:val="Bulletskeyfindings"/>
      </w:pPr>
      <w:r w:rsidRPr="00051C03">
        <w:t>Do</w:t>
      </w:r>
      <w:r>
        <w:t xml:space="preserve"> they</w:t>
      </w:r>
      <w:r w:rsidRPr="00051C03">
        <w:t xml:space="preserve"> have a clear overview of safeguarding procedures and practice?</w:t>
      </w:r>
    </w:p>
    <w:p w14:paraId="75691EA0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5CC8DEFA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211F0A98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3EE620AB" w14:textId="77777777" w:rsidR="009C1DAD" w:rsidRDefault="009C1DAD" w:rsidP="009C1DAD">
      <w:pPr>
        <w:pStyle w:val="Bulletskeyfindings"/>
      </w:pPr>
      <w:r w:rsidRPr="00051C03">
        <w:t>How well do procedures for safe recruitment and vetting of staff take account of the DCSF and any other local guidance?</w:t>
      </w:r>
    </w:p>
    <w:p w14:paraId="1D80037C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53126AD6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049975D4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0E49F094" w14:textId="77777777" w:rsidR="009C1DAD" w:rsidRDefault="009C1DAD" w:rsidP="009C1DAD">
      <w:pPr>
        <w:pStyle w:val="Bulletskeyfindings"/>
      </w:pPr>
      <w:r w:rsidRPr="00051C03">
        <w:t>Have appropriate steps been taken to ensure that the staff are recruited safely?</w:t>
      </w:r>
    </w:p>
    <w:p w14:paraId="459F17D6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623DD2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EA42EE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693A8" w14:textId="77777777" w:rsidR="009C1DAD" w:rsidRDefault="009C1DAD" w:rsidP="009C1DAD">
      <w:pPr>
        <w:pStyle w:val="Bulletskeyfindings"/>
      </w:pPr>
      <w:r w:rsidRPr="00051C03">
        <w:t>Are the policies and procedures adopted by the governing body fully implemented and followed by staff?</w:t>
      </w:r>
    </w:p>
    <w:p w14:paraId="552B5CC9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7B93732B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62B624E4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00B22ACE" w14:textId="77777777" w:rsidR="009C1DAD" w:rsidRDefault="009C1DAD" w:rsidP="009C1DAD">
      <w:pPr>
        <w:pStyle w:val="Bulletskeyfindings"/>
      </w:pPr>
      <w:r w:rsidRPr="00051C03">
        <w:t xml:space="preserve">What is the quality of support provided for the designated member of staff? Has the designated person appropriate seniority? How </w:t>
      </w:r>
      <w:r>
        <w:t>are they</w:t>
      </w:r>
      <w:r w:rsidRPr="00051C03">
        <w:t xml:space="preserve"> held to account? </w:t>
      </w:r>
      <w:r>
        <w:t>Have</w:t>
      </w:r>
      <w:r w:rsidRPr="00051C03">
        <w:t xml:space="preserve"> sufficient time and resources been allocated to the designated person and other staff to discharge their responsibilities, including taking part in inter-agency assessments and meetings?</w:t>
      </w:r>
    </w:p>
    <w:p w14:paraId="4E20CA7F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0543AD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022B78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4AA2D1" w14:textId="77777777" w:rsidR="009C1DAD" w:rsidRDefault="009C1DAD" w:rsidP="009C1DAD">
      <w:pPr>
        <w:pStyle w:val="Bulletskeyfindings"/>
      </w:pPr>
      <w:r w:rsidRPr="00051C03">
        <w:t>How do</w:t>
      </w:r>
      <w:r>
        <w:t xml:space="preserve"> they</w:t>
      </w:r>
      <w:r w:rsidRPr="00051C03">
        <w:t xml:space="preserve"> ensure that appropriate training is in place for staff and other relevant adults?</w:t>
      </w:r>
    </w:p>
    <w:p w14:paraId="5454E818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58B516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7FB0F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76822" w14:textId="77777777" w:rsidR="009C1DAD" w:rsidRDefault="009C1DAD" w:rsidP="009C1DAD">
      <w:pPr>
        <w:pStyle w:val="Bulletskeyfindings"/>
      </w:pPr>
      <w:r w:rsidRPr="00051C03">
        <w:t>What are the procedures for managing allegations or concerns about safeguarding regarding staff? Do these come directly to the headteacher?</w:t>
      </w:r>
    </w:p>
    <w:p w14:paraId="68C2B997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1156BC83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478A9B39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2B71A4F0" w14:textId="77777777" w:rsidR="009C1DAD" w:rsidRDefault="009C1DAD" w:rsidP="009C1DAD">
      <w:pPr>
        <w:pStyle w:val="Bulletskeyfindings"/>
      </w:pPr>
      <w:r w:rsidRPr="00051C03">
        <w:lastRenderedPageBreak/>
        <w:t xml:space="preserve">Are all cases referred to the Independent Safeguarding Authority if a person ceases to work in a school and there are grounds for believing </w:t>
      </w:r>
      <w:r>
        <w:t>they</w:t>
      </w:r>
      <w:r w:rsidRPr="00051C03">
        <w:t xml:space="preserve"> may be unsuitable to work with children, or may have committed misconduct?</w:t>
      </w:r>
    </w:p>
    <w:p w14:paraId="41D14CC0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7A391F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EE05CC" w14:textId="77777777" w:rsidR="009C1DAD" w:rsidRPr="00051C03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612B0B" w14:textId="77777777" w:rsidR="009C1DAD" w:rsidRDefault="009C1DAD" w:rsidP="009C1DAD">
      <w:pPr>
        <w:pStyle w:val="Bulletskeyfindings"/>
      </w:pPr>
      <w:r w:rsidRPr="00051C03">
        <w:t>Who is responsible for ensuring that risk assessments are carried out, not only in relation to school activities, but in admitting or re-admitting pupils with behaviour that could place themselves or others at risk? How effective are these arrangements?</w:t>
      </w:r>
    </w:p>
    <w:p w14:paraId="04BD06DD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CF2CC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BB63E4" w14:textId="77777777" w:rsidR="009C1DAD" w:rsidRPr="00051C03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3C4E6" w14:textId="77777777" w:rsidR="009C1DAD" w:rsidRDefault="009C1DAD" w:rsidP="009C1DAD">
      <w:pPr>
        <w:pStyle w:val="Bulletskeyfindings"/>
      </w:pPr>
      <w:r w:rsidRPr="00051C03">
        <w:t>Have safeguarding complaints or concerns been made to the headteacher and ha</w:t>
      </w:r>
      <w:r>
        <w:t>ve they</w:t>
      </w:r>
      <w:r w:rsidRPr="00051C03">
        <w:t xml:space="preserve"> taken effective steps to address these?</w:t>
      </w:r>
    </w:p>
    <w:p w14:paraId="22D55F55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7070F" w14:textId="77777777" w:rsidR="009C1DAD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96C537" w14:textId="77777777" w:rsidR="009C1DAD" w:rsidRPr="00051C03" w:rsidRDefault="009C1DAD" w:rsidP="009C1DAD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8D3D3" w14:textId="77777777" w:rsidR="009C1DAD" w:rsidRDefault="009C1DAD" w:rsidP="009C1DAD">
      <w:pPr>
        <w:pStyle w:val="Bulletskeyfindings-lastbullet"/>
      </w:pPr>
      <w:r w:rsidRPr="00051C03">
        <w:t>How do</w:t>
      </w:r>
      <w:r>
        <w:t xml:space="preserve"> they</w:t>
      </w:r>
      <w:r w:rsidRPr="00051C03">
        <w:t xml:space="preserve"> ensure that all staff and volunteers feel able to raise concerns about unsafe or poor safeguarding practice?</w:t>
      </w:r>
    </w:p>
    <w:p w14:paraId="488347CD" w14:textId="77777777" w:rsidR="009C1DAD" w:rsidRDefault="009C1DAD" w:rsidP="009C1DAD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en-US"/>
        </w:rPr>
      </w:pPr>
    </w:p>
    <w:p w14:paraId="6F6670F1" w14:textId="77777777" w:rsidR="009C1DAD" w:rsidRDefault="009C1DAD" w:rsidP="009C1D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807B5DA" w14:textId="77777777" w:rsidR="009C1DAD" w:rsidRPr="009C1DAD" w:rsidRDefault="009C1DAD" w:rsidP="009C1D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D8400A" w14:textId="77777777" w:rsidR="009C1DAD" w:rsidRPr="009C1DAD" w:rsidRDefault="009C1DAD" w:rsidP="009C1DAD"/>
    <w:p w14:paraId="051DA34B" w14:textId="77777777" w:rsidR="009C1DAD" w:rsidRPr="009C1DAD" w:rsidRDefault="009C1DAD" w:rsidP="009C1DAD">
      <w:pPr>
        <w:pStyle w:val="Heading1"/>
        <w:rPr>
          <w:lang w:eastAsia="en-US"/>
        </w:rPr>
      </w:pPr>
    </w:p>
    <w:p w14:paraId="5D0E17D6" w14:textId="77777777" w:rsidR="009C1DAD" w:rsidRDefault="009C1DAD" w:rsidP="009C1DAD"/>
    <w:sectPr w:rsidR="009C1DAD" w:rsidSect="009C1D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FB52" w14:textId="77777777" w:rsidR="00BA57ED" w:rsidRDefault="00BA57ED" w:rsidP="008700DB">
      <w:pPr>
        <w:pStyle w:val="Bulletskeyfindings-lastbullet"/>
      </w:pPr>
      <w:r>
        <w:separator/>
      </w:r>
    </w:p>
  </w:endnote>
  <w:endnote w:type="continuationSeparator" w:id="0">
    <w:p w14:paraId="277F21DB" w14:textId="77777777" w:rsidR="00BA57ED" w:rsidRDefault="00BA57ED" w:rsidP="008700DB">
      <w:pPr>
        <w:pStyle w:val="Bulletskeyfindings-lastbul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514D" w14:textId="77777777" w:rsidR="00BA57ED" w:rsidRDefault="00BA57ED" w:rsidP="008700DB">
      <w:pPr>
        <w:pStyle w:val="Bulletskeyfindings-lastbullet"/>
      </w:pPr>
      <w:r>
        <w:separator/>
      </w:r>
    </w:p>
  </w:footnote>
  <w:footnote w:type="continuationSeparator" w:id="0">
    <w:p w14:paraId="64C51F3A" w14:textId="77777777" w:rsidR="00BA57ED" w:rsidRDefault="00BA57ED" w:rsidP="008700DB">
      <w:pPr>
        <w:pStyle w:val="Bulletskeyfindings-lastbulle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8B3"/>
    <w:multiLevelType w:val="hybridMultilevel"/>
    <w:tmpl w:val="4620C4A4"/>
    <w:lvl w:ilvl="0" w:tplc="C38EC558">
      <w:start w:val="1"/>
      <w:numFmt w:val="bullet"/>
      <w:pStyle w:val="Bulletskeyfinding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D"/>
    <w:rsid w:val="002F210D"/>
    <w:rsid w:val="008700DB"/>
    <w:rsid w:val="009C1DAD"/>
    <w:rsid w:val="00BA57ED"/>
    <w:rsid w:val="00E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88D857"/>
  <w15:chartTrackingRefBased/>
  <w15:docId w15:val="{7F592327-0DB8-473C-9EDB-07B06EF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1DAD"/>
    <w:rPr>
      <w:rFonts w:ascii="Tahoma" w:hAnsi="Tahom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DAD"/>
    <w:pPr>
      <w:keepNext/>
      <w:tabs>
        <w:tab w:val="left" w:pos="737"/>
      </w:tabs>
      <w:spacing w:before="120" w:after="240"/>
      <w:outlineLvl w:val="0"/>
    </w:pPr>
    <w:rPr>
      <w:b/>
      <w:color w:val="auto"/>
      <w:sz w:val="32"/>
      <w:szCs w:val="3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keyfindings">
    <w:name w:val="Bullets (key findings)"/>
    <w:basedOn w:val="Normal"/>
    <w:rsid w:val="009C1DAD"/>
    <w:pPr>
      <w:numPr>
        <w:numId w:val="1"/>
      </w:numPr>
      <w:spacing w:after="120"/>
    </w:pPr>
  </w:style>
  <w:style w:type="character" w:customStyle="1" w:styleId="UnnumberedparagraphChar">
    <w:name w:val="Unnumbered paragraph Char"/>
    <w:link w:val="Unnumberedparagraph"/>
    <w:rsid w:val="009C1DAD"/>
    <w:rPr>
      <w:rFonts w:ascii="Tahoma" w:hAnsi="Tahoma"/>
      <w:color w:val="000000"/>
      <w:sz w:val="24"/>
      <w:szCs w:val="24"/>
      <w:lang w:val="en-GB" w:eastAsia="en-US" w:bidi="ar-SA"/>
    </w:rPr>
  </w:style>
  <w:style w:type="paragraph" w:customStyle="1" w:styleId="Unnumberedparagraph">
    <w:name w:val="Unnumbered paragraph"/>
    <w:basedOn w:val="Normal"/>
    <w:link w:val="UnnumberedparagraphChar"/>
    <w:rsid w:val="009C1DAD"/>
    <w:pPr>
      <w:spacing w:after="240"/>
    </w:pPr>
  </w:style>
  <w:style w:type="paragraph" w:styleId="FootnoteText">
    <w:name w:val="footnote text"/>
    <w:basedOn w:val="Normal"/>
    <w:semiHidden/>
    <w:rsid w:val="009C1DAD"/>
    <w:rPr>
      <w:sz w:val="20"/>
      <w:szCs w:val="20"/>
    </w:rPr>
  </w:style>
  <w:style w:type="paragraph" w:customStyle="1" w:styleId="Bulletskeyfindings-lastbullet">
    <w:name w:val="Bullets (key findings) - last bullet"/>
    <w:basedOn w:val="Bulletskeyfindings"/>
    <w:next w:val="Heading1"/>
    <w:rsid w:val="009C1DAD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E31FD-483B-44F3-AC72-0EAD2C1C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F78D0-B28E-419A-A859-04A71D5D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4344D-163E-4BCF-A70C-D30CA0366749}">
  <ds:schemaRefs>
    <ds:schemaRef ds:uri="http://schemas.microsoft.com/office/2006/documentManagement/types"/>
    <ds:schemaRef ds:uri="http://www.w3.org/XML/1998/namespace"/>
    <ds:schemaRef ds:uri="bb919a7a-1147-48b9-a042-f3804cf465b9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bd471001-9c92-4ad5-b6cc-d569a96249a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Interviewing the headteacher</vt:lpstr>
    </vt:vector>
  </TitlesOfParts>
  <Company>Barnsley MBC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Interviewing the headteacher</dc:title>
  <dc:subject/>
  <dc:creator>Barnsley MBC</dc:creator>
  <cp:keywords/>
  <cp:lastModifiedBy>Roddison , Christopher (DIGITAL DEVELOPMENT LEAD)</cp:lastModifiedBy>
  <cp:revision>2</cp:revision>
  <dcterms:created xsi:type="dcterms:W3CDTF">2020-08-26T15:34:00Z</dcterms:created>
  <dcterms:modified xsi:type="dcterms:W3CDTF">2020-08-26T15:34:00Z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