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AA38" w14:textId="77777777" w:rsidR="00C35254" w:rsidRPr="004A6265" w:rsidRDefault="00C35254" w:rsidP="00C35254">
      <w:pPr>
        <w:pStyle w:val="Heading1"/>
      </w:pPr>
      <w:bookmarkStart w:id="0" w:name="_Toc268252789"/>
      <w:r w:rsidRPr="004A6265">
        <w:t>Interviewing the designated member of staff about child protection</w:t>
      </w:r>
      <w:bookmarkEnd w:id="0"/>
    </w:p>
    <w:p w14:paraId="6B180E44" w14:textId="77777777" w:rsidR="00C35254" w:rsidRDefault="00C35254" w:rsidP="00C35254">
      <w:pPr>
        <w:pStyle w:val="Unnumberedparagraph"/>
      </w:pPr>
      <w:r w:rsidRPr="00051C03">
        <w:t>Possible questions to consider</w:t>
      </w:r>
      <w:r>
        <w:t xml:space="preserve"> – this is not a definitive list.</w:t>
      </w:r>
    </w:p>
    <w:p w14:paraId="14E84483" w14:textId="77777777" w:rsidR="00C35254" w:rsidRDefault="00C35254" w:rsidP="00C35254">
      <w:pPr>
        <w:pStyle w:val="Bulletskeyfindings"/>
      </w:pPr>
      <w:r>
        <w:t>Do they h</w:t>
      </w:r>
      <w:r w:rsidRPr="00051C03">
        <w:t>a</w:t>
      </w:r>
      <w:r>
        <w:t>ve</w:t>
      </w:r>
      <w:r w:rsidRPr="00051C03">
        <w:t xml:space="preserve"> an appropriate level of seniority?</w:t>
      </w:r>
    </w:p>
    <w:p w14:paraId="2D99082B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bookmarkStart w:id="1" w:name="_GoBack"/>
      <w:bookmarkEnd w:id="1"/>
    </w:p>
    <w:p w14:paraId="62DB2466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0C104189" w14:textId="77777777" w:rsidR="00C35254" w:rsidRDefault="00C35254" w:rsidP="00C35254">
      <w:pPr>
        <w:pStyle w:val="Bulletskeyfindings"/>
      </w:pPr>
      <w:r>
        <w:t>Do they have</w:t>
      </w:r>
      <w:r w:rsidRPr="00051C03">
        <w:t xml:space="preserve"> a clear understanding of </w:t>
      </w:r>
      <w:r>
        <w:t>their</w:t>
      </w:r>
      <w:r w:rsidRPr="00051C03">
        <w:t>s role and responsibilities and that of other staff?</w:t>
      </w:r>
    </w:p>
    <w:p w14:paraId="66AEEE7F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007426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74B2DE" w14:textId="77777777" w:rsidR="00C35254" w:rsidRDefault="00C35254" w:rsidP="00C35254">
      <w:pPr>
        <w:pStyle w:val="Bulletskeyfindings"/>
      </w:pPr>
      <w:r w:rsidRPr="00051C03">
        <w:t xml:space="preserve">What is the quality of </w:t>
      </w:r>
      <w:r>
        <w:t>their</w:t>
      </w:r>
      <w:r w:rsidRPr="00051C03">
        <w:t xml:space="preserve"> own training, knowledge and understanding? Ha</w:t>
      </w:r>
      <w:r>
        <w:t>ve they</w:t>
      </w:r>
      <w:r w:rsidRPr="00051C03">
        <w:t xml:space="preserve"> kept up to date with recent guidance, for example in relation to forced marriage?</w:t>
      </w:r>
    </w:p>
    <w:p w14:paraId="73FEB90D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0E0FBA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7E0A8B" w14:textId="77777777" w:rsidR="00C35254" w:rsidRDefault="00C35254" w:rsidP="00C35254">
      <w:pPr>
        <w:pStyle w:val="Bulletskeyfindings"/>
      </w:pPr>
      <w:r w:rsidRPr="00051C03">
        <w:t>Ha</w:t>
      </w:r>
      <w:r>
        <w:t>ve they</w:t>
      </w:r>
      <w:r w:rsidRPr="00051C03">
        <w:t xml:space="preserve"> untaken specific training for the role provided by or to standards agreed by the Local Safeguarding Children Board? Ha</w:t>
      </w:r>
      <w:r>
        <w:t>ve they</w:t>
      </w:r>
      <w:r w:rsidRPr="00051C03">
        <w:t xml:space="preserve"> kept this up to date with appropriate refresher training every two years</w:t>
      </w:r>
      <w:r>
        <w:t xml:space="preserve"> as recommended</w:t>
      </w:r>
      <w:r w:rsidRPr="00051C03">
        <w:t>?</w:t>
      </w:r>
    </w:p>
    <w:p w14:paraId="1A674446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2F9BD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38601" w14:textId="77777777" w:rsidR="00C35254" w:rsidRDefault="00C35254" w:rsidP="00C35254">
      <w:pPr>
        <w:pStyle w:val="Bulletskeyfindings"/>
      </w:pPr>
      <w:r w:rsidRPr="00051C03">
        <w:t>Ha</w:t>
      </w:r>
      <w:r>
        <w:t>ve they</w:t>
      </w:r>
      <w:r w:rsidRPr="00051C03">
        <w:t xml:space="preserve"> ensured that all staff receive appropriate and timely training refreshed </w:t>
      </w:r>
      <w:r>
        <w:t>at the recommended intervals</w:t>
      </w:r>
      <w:r w:rsidRPr="00051C03">
        <w:t xml:space="preserve">? </w:t>
      </w:r>
    </w:p>
    <w:p w14:paraId="3CD88CA3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980C80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2468B0" w14:textId="77777777" w:rsidR="00C35254" w:rsidRDefault="00C35254" w:rsidP="00C35254">
      <w:pPr>
        <w:pStyle w:val="Bulletskeyfindings"/>
      </w:pPr>
      <w:r w:rsidRPr="00051C03">
        <w:t>Are temporary staff given appropriate guidance about their responsibilities?</w:t>
      </w:r>
    </w:p>
    <w:p w14:paraId="0DD0E7C8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588DD8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6550F" w14:textId="77777777" w:rsidR="00C35254" w:rsidRDefault="00C35254" w:rsidP="00C35254">
      <w:pPr>
        <w:pStyle w:val="Bulletskeyfindings"/>
      </w:pPr>
      <w:r w:rsidRPr="00051C03">
        <w:t>Do induction arrangements have sufficient focus on safeguarding?</w:t>
      </w:r>
    </w:p>
    <w:p w14:paraId="373A0621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09E61F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CE0DB3" w14:textId="77777777" w:rsidR="00C35254" w:rsidRDefault="00C35254" w:rsidP="00C35254">
      <w:pPr>
        <w:pStyle w:val="Bulletskeyfindings"/>
      </w:pPr>
      <w:r w:rsidRPr="00051C03">
        <w:t>How effective are the designated person and other staff in identifying pupils at risk or vulnerable, making referrals and taking appropriate follow-up action?</w:t>
      </w:r>
    </w:p>
    <w:p w14:paraId="01F06F16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E25769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404EBC" w14:textId="77777777" w:rsidR="00C35254" w:rsidRDefault="00C35254" w:rsidP="00C35254">
      <w:pPr>
        <w:pStyle w:val="Bulletskeyfindings"/>
      </w:pPr>
      <w:r w:rsidRPr="00051C03">
        <w:t>If relevant, how does the school ensure that there are appropriate safeguarding arrangements in place for those undertaking work-based learning, work experience and educational visits?</w:t>
      </w:r>
    </w:p>
    <w:p w14:paraId="231948F5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09D7F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76D758" w14:textId="77777777" w:rsidR="00C35254" w:rsidRDefault="00C35254" w:rsidP="00C35254">
      <w:pPr>
        <w:pStyle w:val="Bulletskeyfindings"/>
      </w:pPr>
      <w:r w:rsidRPr="00051C03">
        <w:t>How does the designated person ensure the quality of record</w:t>
      </w:r>
      <w:r>
        <w:t>-</w:t>
      </w:r>
      <w:r w:rsidRPr="00051C03">
        <w:t xml:space="preserve">keeping? </w:t>
      </w:r>
    </w:p>
    <w:p w14:paraId="1E302C61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33DCF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070D5C" w14:textId="77777777" w:rsidR="00C35254" w:rsidRDefault="00C35254" w:rsidP="00C35254">
      <w:pPr>
        <w:pStyle w:val="Bulletskeyfindings"/>
      </w:pPr>
      <w:r w:rsidRPr="00051C03">
        <w:t xml:space="preserve">How does the designated person ensure that s/he and the school have access to </w:t>
      </w:r>
      <w:r>
        <w:t>local authority</w:t>
      </w:r>
      <w:r w:rsidRPr="00051C03">
        <w:t xml:space="preserve"> procedures, guidance, training and support?</w:t>
      </w:r>
    </w:p>
    <w:p w14:paraId="6198501F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469CF7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007231" w14:textId="77777777" w:rsidR="00C35254" w:rsidRDefault="00C35254" w:rsidP="00C35254">
      <w:pPr>
        <w:pStyle w:val="Bulletskeyfindings"/>
      </w:pPr>
      <w:r w:rsidRPr="00051C03">
        <w:t>How well does the designated person (if not the headteacher) keep the headteacher informed of the welfare of pupils with a child protection plan and of general child protection issues within the school?</w:t>
      </w:r>
    </w:p>
    <w:p w14:paraId="5F29A00F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EE4C9E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FE3C31" w14:textId="77777777" w:rsidR="00C35254" w:rsidRDefault="00C35254" w:rsidP="00C35254">
      <w:pPr>
        <w:pStyle w:val="Bulletskeyfindings"/>
      </w:pPr>
      <w:r w:rsidRPr="00051C03">
        <w:t>How well does the school contribute to child protection conferences/re</w:t>
      </w:r>
      <w:r>
        <w:t>views, through attendance and/</w:t>
      </w:r>
      <w:r w:rsidRPr="00051C03">
        <w:t>or reports? How well does the school contribute to inter-agency working, for example assessments and attendance at core group or other professional meetings?</w:t>
      </w:r>
    </w:p>
    <w:p w14:paraId="6E57E1C4" w14:textId="77777777" w:rsidR="00C35254" w:rsidRDefault="00C35254" w:rsidP="00C35254">
      <w:pPr>
        <w:pStyle w:val="Bulletskeyfindings"/>
        <w:numPr>
          <w:ilvl w:val="0"/>
          <w:numId w:val="0"/>
        </w:numPr>
      </w:pPr>
    </w:p>
    <w:p w14:paraId="3C7CFE5D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36FE65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CA1C8B" w14:textId="77777777" w:rsidR="00C35254" w:rsidRDefault="00C35254" w:rsidP="00C35254">
      <w:pPr>
        <w:pStyle w:val="Bulletskeyfindings"/>
      </w:pPr>
      <w:r w:rsidRPr="00051C03">
        <w:t>How effective is the designated person in advising on child protection input in the curriculum?</w:t>
      </w:r>
    </w:p>
    <w:p w14:paraId="0EB5CEA6" w14:textId="77777777" w:rsidR="00C35254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57B16" w14:textId="77777777" w:rsidR="00C35254" w:rsidRPr="00051C03" w:rsidRDefault="00C35254" w:rsidP="00C35254">
      <w:pPr>
        <w:pStyle w:val="Bulletskeyfinding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0FF175" w14:textId="77777777" w:rsidR="00C35254" w:rsidRDefault="00C35254" w:rsidP="00C35254">
      <w:pPr>
        <w:pStyle w:val="Bulletskeyfindings-lastbullet"/>
      </w:pPr>
      <w:r w:rsidRPr="004A6265">
        <w:t>How well does the designated person monitor and evaluate the effectiveness of child protection work carried out in the school?</w:t>
      </w:r>
    </w:p>
    <w:p w14:paraId="2CAECFBA" w14:textId="77777777" w:rsidR="00C35254" w:rsidRDefault="00C35254" w:rsidP="00C3525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p w14:paraId="4963CB37" w14:textId="77777777" w:rsidR="00C35254" w:rsidRDefault="00C35254" w:rsidP="00C3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77E31C" w14:textId="77777777" w:rsidR="00C35254" w:rsidRPr="00C35254" w:rsidRDefault="00C35254" w:rsidP="00C35254"/>
    <w:p w14:paraId="565072C0" w14:textId="77777777" w:rsidR="00C35254" w:rsidRPr="00C35254" w:rsidRDefault="00C35254" w:rsidP="00C35254"/>
    <w:p w14:paraId="674F17D3" w14:textId="77777777" w:rsidR="00C35254" w:rsidRPr="00F414EF" w:rsidRDefault="00C35254" w:rsidP="00C35254">
      <w:pPr>
        <w:pStyle w:val="Bulletskeyfindings"/>
        <w:numPr>
          <w:ilvl w:val="0"/>
          <w:numId w:val="0"/>
        </w:numPr>
        <w:rPr>
          <w:b/>
          <w:sz w:val="32"/>
          <w:szCs w:val="32"/>
        </w:rPr>
      </w:pPr>
    </w:p>
    <w:p w14:paraId="6051DEF4" w14:textId="77777777" w:rsidR="009C1DAD" w:rsidRPr="00C35254" w:rsidRDefault="009C1DAD" w:rsidP="00C35254"/>
    <w:sectPr w:rsidR="009C1DAD" w:rsidRPr="00C35254" w:rsidSect="009C1D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F4557" w14:textId="77777777" w:rsidR="000F307D" w:rsidRDefault="000F307D" w:rsidP="00ED2B3B">
      <w:pPr>
        <w:pStyle w:val="Bulletskeyfindings-lastbullet"/>
      </w:pPr>
      <w:r>
        <w:separator/>
      </w:r>
    </w:p>
  </w:endnote>
  <w:endnote w:type="continuationSeparator" w:id="0">
    <w:p w14:paraId="4A48C1FA" w14:textId="77777777" w:rsidR="000F307D" w:rsidRDefault="000F307D" w:rsidP="00ED2B3B">
      <w:pPr>
        <w:pStyle w:val="Bulletskeyfindings-lastbulle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26A9" w14:textId="77777777" w:rsidR="000F307D" w:rsidRDefault="000F307D" w:rsidP="00ED2B3B">
      <w:pPr>
        <w:pStyle w:val="Bulletskeyfindings-lastbullet"/>
      </w:pPr>
      <w:r>
        <w:separator/>
      </w:r>
    </w:p>
  </w:footnote>
  <w:footnote w:type="continuationSeparator" w:id="0">
    <w:p w14:paraId="5676BC15" w14:textId="77777777" w:rsidR="000F307D" w:rsidRDefault="000F307D" w:rsidP="00ED2B3B">
      <w:pPr>
        <w:pStyle w:val="Bulletskeyfindings-lastbulle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8B3"/>
    <w:multiLevelType w:val="hybridMultilevel"/>
    <w:tmpl w:val="4620C4A4"/>
    <w:lvl w:ilvl="0" w:tplc="C38EC558">
      <w:start w:val="1"/>
      <w:numFmt w:val="bullet"/>
      <w:pStyle w:val="Bulletskeyfinding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D"/>
    <w:rsid w:val="000F307D"/>
    <w:rsid w:val="00183D93"/>
    <w:rsid w:val="003A65DC"/>
    <w:rsid w:val="009C1DAD"/>
    <w:rsid w:val="00C35254"/>
    <w:rsid w:val="00E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D0B841"/>
  <w15:chartTrackingRefBased/>
  <w15:docId w15:val="{A27D1CAE-CB6F-489D-A79A-5E3A8E38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1DAD"/>
    <w:rPr>
      <w:rFonts w:ascii="Tahoma" w:hAnsi="Tahoma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DAD"/>
    <w:pPr>
      <w:keepNext/>
      <w:tabs>
        <w:tab w:val="left" w:pos="737"/>
      </w:tabs>
      <w:spacing w:before="120" w:after="240"/>
      <w:outlineLvl w:val="0"/>
    </w:pPr>
    <w:rPr>
      <w:b/>
      <w:color w:val="auto"/>
      <w:sz w:val="32"/>
      <w:szCs w:val="3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keyfindings">
    <w:name w:val="Bullets (key findings)"/>
    <w:basedOn w:val="Normal"/>
    <w:rsid w:val="009C1DAD"/>
    <w:pPr>
      <w:numPr>
        <w:numId w:val="1"/>
      </w:numPr>
      <w:spacing w:after="120"/>
    </w:pPr>
  </w:style>
  <w:style w:type="character" w:customStyle="1" w:styleId="UnnumberedparagraphChar">
    <w:name w:val="Unnumbered paragraph Char"/>
    <w:link w:val="Unnumberedparagraph"/>
    <w:rsid w:val="009C1DAD"/>
    <w:rPr>
      <w:rFonts w:ascii="Tahoma" w:hAnsi="Tahoma"/>
      <w:color w:val="000000"/>
      <w:sz w:val="24"/>
      <w:szCs w:val="24"/>
      <w:lang w:val="en-GB" w:eastAsia="en-US" w:bidi="ar-SA"/>
    </w:rPr>
  </w:style>
  <w:style w:type="paragraph" w:customStyle="1" w:styleId="Unnumberedparagraph">
    <w:name w:val="Unnumbered paragraph"/>
    <w:basedOn w:val="Normal"/>
    <w:link w:val="UnnumberedparagraphChar"/>
    <w:rsid w:val="009C1DAD"/>
    <w:pPr>
      <w:spacing w:after="240"/>
    </w:pPr>
  </w:style>
  <w:style w:type="paragraph" w:styleId="FootnoteText">
    <w:name w:val="footnote text"/>
    <w:basedOn w:val="Normal"/>
    <w:semiHidden/>
    <w:rsid w:val="009C1DAD"/>
    <w:rPr>
      <w:sz w:val="20"/>
      <w:szCs w:val="20"/>
    </w:rPr>
  </w:style>
  <w:style w:type="paragraph" w:customStyle="1" w:styleId="Bulletskeyfindings-lastbullet">
    <w:name w:val="Bullets (key findings) - last bullet"/>
    <w:basedOn w:val="Bulletskeyfindings"/>
    <w:next w:val="Heading1"/>
    <w:rsid w:val="009C1DAD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392E5-4C1D-4F7A-8395-F0C77F9DE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2E5DA-10FA-42B0-8AEA-BF5E562A8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6327A-30F3-44C7-9096-E99ED5D6B71C}">
  <ds:schemaRefs>
    <ds:schemaRef ds:uri="http://schemas.openxmlformats.org/package/2006/metadata/core-properties"/>
    <ds:schemaRef ds:uri="http://purl.org/dc/terms/"/>
    <ds:schemaRef ds:uri="bb919a7a-1147-48b9-a042-f3804cf465b9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bd471001-9c92-4ad5-b6cc-d569a96249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Interviewing the headteacher</vt:lpstr>
    </vt:vector>
  </TitlesOfParts>
  <Company>Barnsley MBC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Interviewing the headteacher</dc:title>
  <dc:subject/>
  <dc:creator>Barnsley MBC</dc:creator>
  <cp:keywords/>
  <cp:lastModifiedBy>Roddison , Christopher (DIGITAL DEVELOPMENT LEAD)</cp:lastModifiedBy>
  <cp:revision>2</cp:revision>
  <dcterms:created xsi:type="dcterms:W3CDTF">2020-08-26T15:35:00Z</dcterms:created>
  <dcterms:modified xsi:type="dcterms:W3CDTF">2020-08-26T15:35:00Z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