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0523" w14:textId="6E9B17BB" w:rsidR="009361C0" w:rsidRDefault="005370EF" w:rsidP="008704B4">
      <w:pPr>
        <w:spacing w:after="0" w:line="240" w:lineRule="auto"/>
        <w:rPr>
          <w:rFonts w:ascii="Arial" w:hAnsi="Arial" w:cs="Arial"/>
          <w:b/>
          <w:bCs/>
          <w:sz w:val="28"/>
          <w:szCs w:val="28"/>
          <w:lang w:val="en-GB"/>
        </w:rPr>
      </w:pPr>
      <w:r w:rsidRPr="008704B4">
        <w:rPr>
          <w:rFonts w:ascii="Arial" w:hAnsi="Arial" w:cs="Arial"/>
          <w:b/>
          <w:bCs/>
          <w:sz w:val="28"/>
          <w:szCs w:val="28"/>
          <w:lang w:val="en-GB"/>
        </w:rPr>
        <w:t xml:space="preserve">Summary of </w:t>
      </w:r>
      <w:r w:rsidR="009361C0" w:rsidRPr="008704B4">
        <w:rPr>
          <w:rFonts w:ascii="Arial" w:hAnsi="Arial" w:cs="Arial"/>
          <w:b/>
          <w:bCs/>
          <w:sz w:val="28"/>
          <w:szCs w:val="28"/>
          <w:lang w:val="en-GB"/>
        </w:rPr>
        <w:t>the Council’s five year land supply position</w:t>
      </w:r>
    </w:p>
    <w:p w14:paraId="7A073A0F" w14:textId="77777777" w:rsidR="008704B4" w:rsidRPr="008704B4" w:rsidRDefault="008704B4" w:rsidP="008704B4">
      <w:pPr>
        <w:spacing w:after="0" w:line="240" w:lineRule="auto"/>
        <w:rPr>
          <w:rFonts w:ascii="Arial" w:hAnsi="Arial" w:cs="Arial"/>
          <w:b/>
          <w:bCs/>
          <w:sz w:val="28"/>
          <w:szCs w:val="28"/>
          <w:lang w:val="en-GB"/>
        </w:rPr>
      </w:pPr>
    </w:p>
    <w:p w14:paraId="41B5F11B" w14:textId="58B689FE" w:rsidR="00AA1B00" w:rsidRDefault="00B94C27" w:rsidP="008704B4">
      <w:pPr>
        <w:spacing w:after="0" w:line="240" w:lineRule="auto"/>
        <w:rPr>
          <w:rFonts w:ascii="Arial" w:hAnsi="Arial" w:cs="Arial"/>
          <w:sz w:val="24"/>
          <w:szCs w:val="24"/>
          <w:lang w:val="en-GB"/>
        </w:rPr>
      </w:pPr>
      <w:r w:rsidRPr="00C629AB">
        <w:rPr>
          <w:rFonts w:ascii="Arial" w:hAnsi="Arial" w:cs="Arial"/>
          <w:sz w:val="24"/>
          <w:szCs w:val="24"/>
          <w:lang w:val="en-GB"/>
        </w:rPr>
        <w:t>T</w:t>
      </w:r>
      <w:r w:rsidR="003F0BA5" w:rsidRPr="00C629AB">
        <w:rPr>
          <w:rFonts w:ascii="Arial" w:hAnsi="Arial" w:cs="Arial"/>
          <w:sz w:val="24"/>
          <w:szCs w:val="24"/>
          <w:lang w:val="en-GB"/>
        </w:rPr>
        <w:t xml:space="preserve">he </w:t>
      </w:r>
      <w:r w:rsidR="00AA1B00" w:rsidRPr="00C629AB">
        <w:rPr>
          <w:rFonts w:ascii="Arial" w:hAnsi="Arial" w:cs="Arial"/>
          <w:sz w:val="24"/>
          <w:szCs w:val="24"/>
          <w:lang w:val="en-GB"/>
        </w:rPr>
        <w:t>Council estimates</w:t>
      </w:r>
      <w:r w:rsidR="00833F7B" w:rsidRPr="00C629AB">
        <w:rPr>
          <w:rFonts w:ascii="Arial" w:hAnsi="Arial" w:cs="Arial"/>
          <w:sz w:val="24"/>
          <w:szCs w:val="24"/>
          <w:lang w:val="en-GB"/>
        </w:rPr>
        <w:t xml:space="preserve"> for the purposes of this appeal</w:t>
      </w:r>
      <w:r w:rsidR="005C3728" w:rsidRPr="00C629AB">
        <w:rPr>
          <w:rFonts w:ascii="Arial" w:hAnsi="Arial" w:cs="Arial"/>
          <w:sz w:val="24"/>
          <w:szCs w:val="24"/>
          <w:lang w:val="en-GB"/>
        </w:rPr>
        <w:t>,</w:t>
      </w:r>
      <w:r w:rsidR="00AA1B00" w:rsidRPr="00C629AB">
        <w:rPr>
          <w:rFonts w:ascii="Arial" w:hAnsi="Arial" w:cs="Arial"/>
          <w:sz w:val="24"/>
          <w:szCs w:val="24"/>
          <w:lang w:val="en-GB"/>
        </w:rPr>
        <w:t xml:space="preserve"> that it has a </w:t>
      </w:r>
      <w:r w:rsidR="003F0BA5" w:rsidRPr="00C629AB">
        <w:rPr>
          <w:rFonts w:ascii="Arial" w:hAnsi="Arial" w:cs="Arial"/>
          <w:sz w:val="24"/>
          <w:szCs w:val="24"/>
          <w:lang w:val="en-GB"/>
        </w:rPr>
        <w:t xml:space="preserve">3.7 year housing land supply as at </w:t>
      </w:r>
      <w:r w:rsidR="00FE7337" w:rsidRPr="00C629AB">
        <w:rPr>
          <w:rFonts w:ascii="Arial" w:hAnsi="Arial" w:cs="Arial"/>
          <w:sz w:val="24"/>
          <w:szCs w:val="24"/>
          <w:lang w:val="en-GB"/>
        </w:rPr>
        <w:t>1 April 2024.</w:t>
      </w:r>
      <w:r w:rsidR="00887AB3" w:rsidRPr="00C629AB">
        <w:rPr>
          <w:rFonts w:ascii="Arial" w:hAnsi="Arial" w:cs="Arial"/>
          <w:sz w:val="24"/>
          <w:szCs w:val="24"/>
          <w:lang w:val="en-GB"/>
        </w:rPr>
        <w:t xml:space="preserve">  However, it is acknowledged that</w:t>
      </w:r>
      <w:r w:rsidR="00807B94" w:rsidRPr="00C629AB">
        <w:rPr>
          <w:rFonts w:ascii="Arial" w:hAnsi="Arial" w:cs="Arial"/>
          <w:sz w:val="24"/>
          <w:szCs w:val="24"/>
          <w:lang w:val="en-GB"/>
        </w:rPr>
        <w:t xml:space="preserve"> Barnsley’s </w:t>
      </w:r>
      <w:r w:rsidR="0092782F" w:rsidRPr="00C629AB">
        <w:rPr>
          <w:rFonts w:ascii="Arial" w:hAnsi="Arial" w:cs="Arial"/>
          <w:sz w:val="24"/>
          <w:szCs w:val="24"/>
          <w:lang w:val="en-GB"/>
        </w:rPr>
        <w:t xml:space="preserve">Housing Delivery Test </w:t>
      </w:r>
      <w:r w:rsidR="00FD613A" w:rsidRPr="00C629AB">
        <w:rPr>
          <w:rFonts w:ascii="Arial" w:hAnsi="Arial" w:cs="Arial"/>
          <w:sz w:val="24"/>
          <w:szCs w:val="24"/>
          <w:lang w:val="en-GB"/>
        </w:rPr>
        <w:t xml:space="preserve">2023 </w:t>
      </w:r>
      <w:r w:rsidR="0092782F" w:rsidRPr="00C629AB">
        <w:rPr>
          <w:rFonts w:ascii="Arial" w:hAnsi="Arial" w:cs="Arial"/>
          <w:sz w:val="24"/>
          <w:szCs w:val="24"/>
          <w:lang w:val="en-GB"/>
        </w:rPr>
        <w:t>measurement</w:t>
      </w:r>
      <w:r w:rsidR="003134BC" w:rsidRPr="00C629AB">
        <w:rPr>
          <w:rFonts w:ascii="Arial" w:hAnsi="Arial" w:cs="Arial"/>
          <w:sz w:val="24"/>
          <w:szCs w:val="24"/>
          <w:lang w:val="en-GB"/>
        </w:rPr>
        <w:t>,</w:t>
      </w:r>
      <w:r w:rsidR="00FD613A" w:rsidRPr="00C629AB">
        <w:rPr>
          <w:rFonts w:ascii="Arial" w:hAnsi="Arial" w:cs="Arial"/>
          <w:sz w:val="24"/>
          <w:szCs w:val="24"/>
          <w:lang w:val="en-GB"/>
        </w:rPr>
        <w:t xml:space="preserve"> published on </w:t>
      </w:r>
      <w:r w:rsidR="00C33CF4" w:rsidRPr="00C629AB">
        <w:rPr>
          <w:rFonts w:ascii="Arial" w:hAnsi="Arial" w:cs="Arial"/>
          <w:sz w:val="24"/>
          <w:szCs w:val="24"/>
          <w:lang w:val="en-GB"/>
        </w:rPr>
        <w:t xml:space="preserve">12 December 2024 </w:t>
      </w:r>
      <w:r w:rsidR="00807B94" w:rsidRPr="00C629AB">
        <w:rPr>
          <w:rFonts w:ascii="Arial" w:hAnsi="Arial" w:cs="Arial"/>
          <w:sz w:val="24"/>
          <w:szCs w:val="24"/>
          <w:lang w:val="en-GB"/>
        </w:rPr>
        <w:t>was</w:t>
      </w:r>
      <w:r w:rsidR="00C33CF4" w:rsidRPr="00C629AB">
        <w:rPr>
          <w:rFonts w:ascii="Arial" w:hAnsi="Arial" w:cs="Arial"/>
          <w:sz w:val="24"/>
          <w:szCs w:val="24"/>
          <w:lang w:val="en-GB"/>
        </w:rPr>
        <w:t xml:space="preserve"> 84%</w:t>
      </w:r>
      <w:r w:rsidR="009726F3" w:rsidRPr="00C629AB">
        <w:rPr>
          <w:rFonts w:ascii="Arial" w:hAnsi="Arial" w:cs="Arial"/>
          <w:sz w:val="24"/>
          <w:szCs w:val="24"/>
          <w:lang w:val="en-GB"/>
        </w:rPr>
        <w:t>.  As</w:t>
      </w:r>
      <w:r w:rsidR="00807B94" w:rsidRPr="00C629AB">
        <w:rPr>
          <w:rFonts w:ascii="Arial" w:hAnsi="Arial" w:cs="Arial"/>
          <w:sz w:val="24"/>
          <w:szCs w:val="24"/>
          <w:lang w:val="en-GB"/>
        </w:rPr>
        <w:t xml:space="preserve"> such a 20% buffer </w:t>
      </w:r>
      <w:r w:rsidR="005235E9" w:rsidRPr="00C629AB">
        <w:rPr>
          <w:rFonts w:ascii="Arial" w:hAnsi="Arial" w:cs="Arial"/>
          <w:sz w:val="24"/>
          <w:szCs w:val="24"/>
          <w:lang w:val="en-GB"/>
        </w:rPr>
        <w:t>should</w:t>
      </w:r>
      <w:r w:rsidR="00807B94" w:rsidRPr="00C629AB">
        <w:rPr>
          <w:rFonts w:ascii="Arial" w:hAnsi="Arial" w:cs="Arial"/>
          <w:sz w:val="24"/>
          <w:szCs w:val="24"/>
          <w:lang w:val="en-GB"/>
        </w:rPr>
        <w:t xml:space="preserve"> be applied to the five year supply</w:t>
      </w:r>
      <w:r w:rsidR="00442DFB" w:rsidRPr="00C629AB">
        <w:rPr>
          <w:rFonts w:ascii="Arial" w:hAnsi="Arial" w:cs="Arial"/>
          <w:sz w:val="24"/>
          <w:szCs w:val="24"/>
          <w:lang w:val="en-GB"/>
        </w:rPr>
        <w:t xml:space="preserve"> in line with paragraph 78b of the revised NPPF</w:t>
      </w:r>
      <w:r w:rsidR="00BF6152" w:rsidRPr="00C629AB">
        <w:rPr>
          <w:rFonts w:ascii="Arial" w:hAnsi="Arial" w:cs="Arial"/>
          <w:sz w:val="24"/>
          <w:szCs w:val="24"/>
          <w:lang w:val="en-GB"/>
        </w:rPr>
        <w:t>.  Applying the 20% buffer would equate to an estimated supply of 3.1 years.</w:t>
      </w:r>
    </w:p>
    <w:p w14:paraId="1DE74CA9" w14:textId="77777777" w:rsidR="008704B4" w:rsidRPr="00C629AB" w:rsidRDefault="008704B4" w:rsidP="008704B4">
      <w:pPr>
        <w:spacing w:after="0" w:line="240" w:lineRule="auto"/>
        <w:rPr>
          <w:rFonts w:ascii="Arial" w:hAnsi="Arial" w:cs="Arial"/>
          <w:sz w:val="24"/>
          <w:szCs w:val="24"/>
          <w:lang w:val="en-GB"/>
        </w:rPr>
      </w:pPr>
    </w:p>
    <w:p w14:paraId="586DFACF" w14:textId="77777777" w:rsidR="009726F3" w:rsidRDefault="009726F3" w:rsidP="008704B4">
      <w:pPr>
        <w:spacing w:after="0" w:line="240" w:lineRule="auto"/>
        <w:rPr>
          <w:rFonts w:ascii="Arial" w:hAnsi="Arial" w:cs="Arial"/>
          <w:b/>
          <w:bCs/>
          <w:sz w:val="24"/>
          <w:szCs w:val="24"/>
        </w:rPr>
      </w:pPr>
      <w:r w:rsidRPr="00C629AB">
        <w:rPr>
          <w:rFonts w:ascii="Arial" w:hAnsi="Arial" w:cs="Arial"/>
          <w:b/>
          <w:bCs/>
          <w:sz w:val="24"/>
          <w:szCs w:val="24"/>
        </w:rPr>
        <w:t>Background</w:t>
      </w:r>
    </w:p>
    <w:p w14:paraId="0FAA4167" w14:textId="77777777" w:rsidR="008704B4" w:rsidRPr="00C629AB" w:rsidRDefault="008704B4" w:rsidP="008704B4">
      <w:pPr>
        <w:spacing w:after="0" w:line="240" w:lineRule="auto"/>
        <w:rPr>
          <w:rFonts w:ascii="Arial" w:hAnsi="Arial" w:cs="Arial"/>
          <w:b/>
          <w:bCs/>
          <w:sz w:val="24"/>
          <w:szCs w:val="24"/>
        </w:rPr>
      </w:pPr>
    </w:p>
    <w:p w14:paraId="4D0CDE54" w14:textId="51F8FF7B" w:rsidR="00E35DB6" w:rsidRDefault="00E35DB6" w:rsidP="008704B4">
      <w:pPr>
        <w:spacing w:after="0" w:line="240" w:lineRule="auto"/>
        <w:rPr>
          <w:rFonts w:ascii="Arial" w:hAnsi="Arial" w:cs="Arial"/>
          <w:sz w:val="24"/>
          <w:szCs w:val="24"/>
        </w:rPr>
      </w:pPr>
      <w:r w:rsidRPr="00C629AB">
        <w:rPr>
          <w:rFonts w:ascii="Arial" w:hAnsi="Arial" w:cs="Arial"/>
          <w:sz w:val="24"/>
          <w:szCs w:val="24"/>
        </w:rPr>
        <w:t xml:space="preserve">The Council’s estimated housing land supply position has been determined making use of the methodology for assessing its deliverable five year housing land supply set out in </w:t>
      </w:r>
      <w:r w:rsidR="009726F3" w:rsidRPr="00C629AB">
        <w:rPr>
          <w:rFonts w:ascii="Arial" w:hAnsi="Arial" w:cs="Arial"/>
          <w:sz w:val="24"/>
          <w:szCs w:val="24"/>
        </w:rPr>
        <w:t>the</w:t>
      </w:r>
      <w:r w:rsidRPr="00C629AB">
        <w:rPr>
          <w:rFonts w:ascii="Arial" w:hAnsi="Arial" w:cs="Arial"/>
          <w:sz w:val="24"/>
          <w:szCs w:val="24"/>
        </w:rPr>
        <w:t xml:space="preserve"> Barnsley Five Year Deliverable Housing Land Supply Report (April 2021-March 2026).</w:t>
      </w:r>
    </w:p>
    <w:p w14:paraId="6C865AF6" w14:textId="77777777" w:rsidR="00275A79" w:rsidRPr="00C629AB" w:rsidRDefault="00275A79" w:rsidP="008704B4">
      <w:pPr>
        <w:spacing w:after="0" w:line="240" w:lineRule="auto"/>
        <w:rPr>
          <w:rFonts w:ascii="Arial" w:hAnsi="Arial" w:cs="Arial"/>
          <w:sz w:val="24"/>
          <w:szCs w:val="24"/>
        </w:rPr>
      </w:pPr>
    </w:p>
    <w:p w14:paraId="2BB06252" w14:textId="77777777" w:rsidR="0037767C" w:rsidRDefault="0037767C" w:rsidP="008704B4">
      <w:pPr>
        <w:spacing w:after="0" w:line="240" w:lineRule="auto"/>
        <w:rPr>
          <w:rFonts w:ascii="Arial" w:hAnsi="Arial" w:cs="Arial"/>
          <w:b/>
          <w:bCs/>
          <w:sz w:val="24"/>
          <w:szCs w:val="24"/>
        </w:rPr>
      </w:pPr>
      <w:r w:rsidRPr="00C629AB">
        <w:rPr>
          <w:rFonts w:ascii="Arial" w:hAnsi="Arial" w:cs="Arial"/>
          <w:b/>
          <w:bCs/>
          <w:sz w:val="24"/>
          <w:szCs w:val="24"/>
        </w:rPr>
        <w:t>Housing Requirement</w:t>
      </w:r>
    </w:p>
    <w:p w14:paraId="224261A7" w14:textId="77777777" w:rsidR="008704B4" w:rsidRPr="00C629AB" w:rsidRDefault="008704B4" w:rsidP="008704B4">
      <w:pPr>
        <w:spacing w:after="0" w:line="240" w:lineRule="auto"/>
        <w:rPr>
          <w:rFonts w:ascii="Arial" w:hAnsi="Arial" w:cs="Arial"/>
          <w:b/>
          <w:bCs/>
          <w:sz w:val="24"/>
          <w:szCs w:val="24"/>
        </w:rPr>
      </w:pPr>
    </w:p>
    <w:p w14:paraId="18E56094" w14:textId="42E53C2C" w:rsidR="00C56592" w:rsidRPr="00614B80" w:rsidRDefault="003C4537" w:rsidP="008704B4">
      <w:pPr>
        <w:spacing w:after="0" w:line="240" w:lineRule="auto"/>
        <w:rPr>
          <w:rFonts w:ascii="Arial" w:hAnsi="Arial" w:cs="Arial"/>
          <w:sz w:val="24"/>
          <w:szCs w:val="24"/>
          <w:lang w:val="en-GB"/>
        </w:rPr>
      </w:pPr>
      <w:r w:rsidRPr="00C629AB">
        <w:rPr>
          <w:rFonts w:ascii="Arial" w:hAnsi="Arial" w:cs="Arial"/>
          <w:sz w:val="24"/>
          <w:szCs w:val="24"/>
        </w:rPr>
        <w:t xml:space="preserve">The </w:t>
      </w:r>
      <w:r w:rsidR="00C56592" w:rsidRPr="00C629AB">
        <w:rPr>
          <w:rFonts w:ascii="Arial" w:hAnsi="Arial" w:cs="Arial"/>
          <w:sz w:val="24"/>
          <w:szCs w:val="24"/>
        </w:rPr>
        <w:t>Council consider</w:t>
      </w:r>
      <w:r w:rsidRPr="00C629AB">
        <w:rPr>
          <w:rFonts w:ascii="Arial" w:hAnsi="Arial" w:cs="Arial"/>
          <w:sz w:val="24"/>
          <w:szCs w:val="24"/>
        </w:rPr>
        <w:t>s</w:t>
      </w:r>
      <w:r w:rsidR="00C56592" w:rsidRPr="00C629AB">
        <w:rPr>
          <w:rFonts w:ascii="Arial" w:hAnsi="Arial" w:cs="Arial"/>
          <w:sz w:val="24"/>
          <w:szCs w:val="24"/>
        </w:rPr>
        <w:t xml:space="preserve"> that the </w:t>
      </w:r>
      <w:r w:rsidR="009766B8" w:rsidRPr="00C629AB">
        <w:rPr>
          <w:rFonts w:ascii="Arial" w:hAnsi="Arial" w:cs="Arial"/>
          <w:sz w:val="24"/>
          <w:szCs w:val="24"/>
        </w:rPr>
        <w:t xml:space="preserve">baseline </w:t>
      </w:r>
      <w:r w:rsidR="00C56592" w:rsidRPr="00C629AB">
        <w:rPr>
          <w:rFonts w:ascii="Arial" w:hAnsi="Arial" w:cs="Arial"/>
          <w:sz w:val="24"/>
          <w:szCs w:val="24"/>
        </w:rPr>
        <w:t xml:space="preserve">housing requirement for the period 2024/25 to 2028/29 </w:t>
      </w:r>
      <w:r w:rsidRPr="00C629AB">
        <w:rPr>
          <w:rFonts w:ascii="Arial" w:hAnsi="Arial" w:cs="Arial"/>
          <w:sz w:val="24"/>
          <w:szCs w:val="24"/>
        </w:rPr>
        <w:t>i</w:t>
      </w:r>
      <w:r w:rsidR="00C56592" w:rsidRPr="00C629AB">
        <w:rPr>
          <w:rFonts w:ascii="Arial" w:hAnsi="Arial" w:cs="Arial"/>
          <w:sz w:val="24"/>
          <w:szCs w:val="24"/>
        </w:rPr>
        <w:t xml:space="preserve">s </w:t>
      </w:r>
      <w:r w:rsidR="00C56592" w:rsidRPr="00182B8B">
        <w:rPr>
          <w:rFonts w:ascii="Arial" w:hAnsi="Arial" w:cs="Arial"/>
          <w:sz w:val="24"/>
          <w:szCs w:val="24"/>
        </w:rPr>
        <w:t>76</w:t>
      </w:r>
      <w:r w:rsidR="00B462A3" w:rsidRPr="00182B8B">
        <w:rPr>
          <w:rFonts w:ascii="Arial" w:hAnsi="Arial" w:cs="Arial"/>
          <w:sz w:val="24"/>
          <w:szCs w:val="24"/>
        </w:rPr>
        <w:t>80</w:t>
      </w:r>
      <w:r w:rsidR="00C56592" w:rsidRPr="00C629AB">
        <w:rPr>
          <w:rFonts w:ascii="Arial" w:hAnsi="Arial" w:cs="Arial"/>
          <w:sz w:val="24"/>
          <w:szCs w:val="24"/>
        </w:rPr>
        <w:t xml:space="preserve"> dwellings, having accounted for shortfall in housing delivery against housing requirement since the start of the plan period. </w:t>
      </w:r>
      <w:r w:rsidR="002A0154" w:rsidRPr="00C629AB">
        <w:rPr>
          <w:rFonts w:ascii="Arial" w:hAnsi="Arial" w:cs="Arial"/>
          <w:sz w:val="24"/>
          <w:szCs w:val="24"/>
          <w:lang w:val="en-GB"/>
        </w:rPr>
        <w:t>However, it is acknowledged that Barnsley’s Housing Delivery Test 2023 measurement, published on 12 December 2024 was 84%</w:t>
      </w:r>
      <w:r w:rsidR="00167918" w:rsidRPr="00C629AB">
        <w:rPr>
          <w:rFonts w:ascii="Arial" w:hAnsi="Arial" w:cs="Arial"/>
          <w:sz w:val="24"/>
          <w:szCs w:val="24"/>
          <w:lang w:val="en-GB"/>
        </w:rPr>
        <w:t>.  As</w:t>
      </w:r>
      <w:r w:rsidR="002A0154" w:rsidRPr="00C629AB">
        <w:rPr>
          <w:rFonts w:ascii="Arial" w:hAnsi="Arial" w:cs="Arial"/>
          <w:sz w:val="24"/>
          <w:szCs w:val="24"/>
          <w:lang w:val="en-GB"/>
        </w:rPr>
        <w:t xml:space="preserve"> such a 20% buffer </w:t>
      </w:r>
      <w:r w:rsidR="00B215F8" w:rsidRPr="00C629AB">
        <w:rPr>
          <w:rFonts w:ascii="Arial" w:hAnsi="Arial" w:cs="Arial"/>
          <w:sz w:val="24"/>
          <w:szCs w:val="24"/>
          <w:lang w:val="en-GB"/>
        </w:rPr>
        <w:t>should be</w:t>
      </w:r>
      <w:r w:rsidR="002A0154" w:rsidRPr="00C629AB">
        <w:rPr>
          <w:rFonts w:ascii="Arial" w:hAnsi="Arial" w:cs="Arial"/>
          <w:sz w:val="24"/>
          <w:szCs w:val="24"/>
          <w:lang w:val="en-GB"/>
        </w:rPr>
        <w:t xml:space="preserve"> applied in line with paragraph 78b of the revised NPPF.  </w:t>
      </w:r>
      <w:r w:rsidR="00135FEB" w:rsidRPr="00C629AB">
        <w:rPr>
          <w:rFonts w:ascii="Arial" w:hAnsi="Arial" w:cs="Arial"/>
          <w:sz w:val="24"/>
          <w:szCs w:val="24"/>
          <w:lang w:val="en-GB"/>
        </w:rPr>
        <w:t>This results in a</w:t>
      </w:r>
      <w:r w:rsidR="000F5457" w:rsidRPr="00C629AB">
        <w:rPr>
          <w:rFonts w:ascii="Arial" w:hAnsi="Arial" w:cs="Arial"/>
          <w:sz w:val="24"/>
          <w:szCs w:val="24"/>
          <w:lang w:val="en-GB"/>
        </w:rPr>
        <w:t xml:space="preserve">n </w:t>
      </w:r>
      <w:r w:rsidR="000F5457" w:rsidRPr="00614B80">
        <w:rPr>
          <w:rFonts w:ascii="Arial" w:hAnsi="Arial" w:cs="Arial"/>
          <w:sz w:val="24"/>
          <w:szCs w:val="24"/>
          <w:lang w:val="en-GB"/>
        </w:rPr>
        <w:t xml:space="preserve">estimated </w:t>
      </w:r>
      <w:r w:rsidR="002D2545" w:rsidRPr="00614B80">
        <w:rPr>
          <w:rFonts w:ascii="Arial" w:hAnsi="Arial" w:cs="Arial"/>
          <w:sz w:val="24"/>
          <w:szCs w:val="24"/>
          <w:lang w:val="en-GB"/>
        </w:rPr>
        <w:t xml:space="preserve">housing requirement of </w:t>
      </w:r>
      <w:r w:rsidR="000F5457" w:rsidRPr="00614B80">
        <w:rPr>
          <w:rFonts w:ascii="Arial" w:hAnsi="Arial" w:cs="Arial"/>
          <w:sz w:val="24"/>
          <w:szCs w:val="24"/>
          <w:lang w:val="en-GB"/>
        </w:rPr>
        <w:t>921</w:t>
      </w:r>
      <w:r w:rsidR="00EB76B9" w:rsidRPr="00614B80">
        <w:rPr>
          <w:rFonts w:ascii="Arial" w:hAnsi="Arial" w:cs="Arial"/>
          <w:sz w:val="24"/>
          <w:szCs w:val="24"/>
          <w:lang w:val="en-GB"/>
        </w:rPr>
        <w:t>5</w:t>
      </w:r>
      <w:r w:rsidR="000F5457" w:rsidRPr="00614B80">
        <w:rPr>
          <w:rFonts w:ascii="Arial" w:hAnsi="Arial" w:cs="Arial"/>
          <w:sz w:val="24"/>
          <w:szCs w:val="24"/>
          <w:lang w:val="en-GB"/>
        </w:rPr>
        <w:t xml:space="preserve"> dwellings.</w:t>
      </w:r>
    </w:p>
    <w:p w14:paraId="6C872208" w14:textId="77777777" w:rsidR="00275A79" w:rsidRDefault="00275A79" w:rsidP="008704B4">
      <w:pPr>
        <w:spacing w:after="0" w:line="240" w:lineRule="auto"/>
        <w:rPr>
          <w:rFonts w:ascii="Arial" w:hAnsi="Arial" w:cs="Arial"/>
          <w:b/>
          <w:bCs/>
          <w:sz w:val="24"/>
          <w:szCs w:val="24"/>
          <w:lang w:val="en-GB"/>
        </w:rPr>
      </w:pPr>
    </w:p>
    <w:p w14:paraId="2FF2E5EC" w14:textId="795C7F28" w:rsidR="0037767C" w:rsidRDefault="0037767C" w:rsidP="008704B4">
      <w:pPr>
        <w:spacing w:after="0" w:line="240" w:lineRule="auto"/>
        <w:rPr>
          <w:rFonts w:ascii="Arial" w:hAnsi="Arial" w:cs="Arial"/>
          <w:b/>
          <w:bCs/>
          <w:sz w:val="24"/>
          <w:szCs w:val="24"/>
          <w:lang w:val="en-GB"/>
        </w:rPr>
      </w:pPr>
      <w:r w:rsidRPr="00C629AB">
        <w:rPr>
          <w:rFonts w:ascii="Arial" w:hAnsi="Arial" w:cs="Arial"/>
          <w:b/>
          <w:bCs/>
          <w:sz w:val="24"/>
          <w:szCs w:val="24"/>
          <w:lang w:val="en-GB"/>
        </w:rPr>
        <w:t>Housing Supply</w:t>
      </w:r>
    </w:p>
    <w:p w14:paraId="5D599BD9" w14:textId="77777777" w:rsidR="008704B4" w:rsidRPr="00C629AB" w:rsidRDefault="008704B4" w:rsidP="008704B4">
      <w:pPr>
        <w:spacing w:after="0" w:line="240" w:lineRule="auto"/>
        <w:rPr>
          <w:rFonts w:ascii="Arial" w:hAnsi="Arial" w:cs="Arial"/>
          <w:b/>
          <w:bCs/>
          <w:sz w:val="24"/>
          <w:szCs w:val="24"/>
          <w:lang w:val="en-GB"/>
        </w:rPr>
      </w:pPr>
    </w:p>
    <w:p w14:paraId="78C7015F" w14:textId="1B65D13E" w:rsidR="006A4BA3" w:rsidRDefault="00CA32E2" w:rsidP="008704B4">
      <w:pPr>
        <w:spacing w:after="0" w:line="240" w:lineRule="auto"/>
        <w:rPr>
          <w:rFonts w:ascii="Arial" w:hAnsi="Arial" w:cs="Arial"/>
          <w:sz w:val="24"/>
          <w:szCs w:val="24"/>
          <w:lang w:val="en-GB"/>
        </w:rPr>
      </w:pPr>
      <w:r w:rsidRPr="00C629AB">
        <w:rPr>
          <w:rFonts w:ascii="Arial" w:hAnsi="Arial" w:cs="Arial"/>
          <w:sz w:val="24"/>
          <w:szCs w:val="24"/>
          <w:lang w:val="en-GB"/>
        </w:rPr>
        <w:t xml:space="preserve">The table below </w:t>
      </w:r>
      <w:r w:rsidR="006A4BA3" w:rsidRPr="00C629AB">
        <w:rPr>
          <w:rFonts w:ascii="Arial" w:hAnsi="Arial" w:cs="Arial"/>
          <w:sz w:val="24"/>
          <w:szCs w:val="24"/>
          <w:lang w:val="en-GB"/>
        </w:rPr>
        <w:t>summarises the</w:t>
      </w:r>
      <w:r w:rsidRPr="00C629AB">
        <w:rPr>
          <w:rFonts w:ascii="Arial" w:hAnsi="Arial" w:cs="Arial"/>
          <w:sz w:val="24"/>
          <w:szCs w:val="24"/>
          <w:lang w:val="en-GB"/>
        </w:rPr>
        <w:t xml:space="preserve"> estimated </w:t>
      </w:r>
      <w:r w:rsidR="006A4BA3" w:rsidRPr="00C629AB">
        <w:rPr>
          <w:rFonts w:ascii="Arial" w:hAnsi="Arial" w:cs="Arial"/>
          <w:sz w:val="24"/>
          <w:szCs w:val="24"/>
          <w:lang w:val="en-GB"/>
        </w:rPr>
        <w:t>five year supply situation in Barnsley for the period 2024/25 to 2028/29. </w:t>
      </w:r>
    </w:p>
    <w:p w14:paraId="4DF7F5D0" w14:textId="77777777" w:rsidR="008704B4" w:rsidRPr="00C629AB" w:rsidRDefault="008704B4" w:rsidP="008704B4">
      <w:pPr>
        <w:spacing w:after="0" w:line="240" w:lineRule="auto"/>
        <w:rPr>
          <w:rFonts w:ascii="Arial" w:hAnsi="Arial" w:cs="Arial"/>
          <w:sz w:val="24"/>
          <w:szCs w:val="24"/>
          <w:lang w:val="en-GB"/>
        </w:rPr>
      </w:pPr>
    </w:p>
    <w:p w14:paraId="7BE98AB5" w14:textId="3382D781" w:rsidR="006A4BA3" w:rsidRPr="008704B4" w:rsidRDefault="006A4BA3" w:rsidP="006A4BA3">
      <w:pPr>
        <w:rPr>
          <w:rFonts w:ascii="Arial" w:hAnsi="Arial" w:cs="Arial"/>
          <w:lang w:val="en-GB"/>
        </w:rPr>
      </w:pPr>
      <w:r w:rsidRPr="00C629AB">
        <w:rPr>
          <w:rFonts w:ascii="Arial" w:hAnsi="Arial" w:cs="Arial"/>
          <w:sz w:val="24"/>
          <w:szCs w:val="24"/>
          <w:lang w:val="en-GB"/>
        </w:rPr>
        <w:t> </w:t>
      </w:r>
      <w:r w:rsidRPr="008704B4">
        <w:rPr>
          <w:rFonts w:ascii="Arial" w:hAnsi="Arial" w:cs="Arial"/>
          <w:b/>
          <w:bCs/>
          <w:lang w:val="en-GB"/>
        </w:rPr>
        <w:t>Barnsley Five Year Supply Summary (2024/25 to 2028/29)</w:t>
      </w:r>
      <w:r w:rsidRPr="008704B4">
        <w:rPr>
          <w:rFonts w:ascii="Arial" w:hAnsi="Arial" w:cs="Arial"/>
          <w:lang w:val="en-GB"/>
        </w:rPr>
        <w:t> </w:t>
      </w:r>
    </w:p>
    <w:tbl>
      <w:tblPr>
        <w:tblW w:w="0" w:type="dxa"/>
        <w:tblBorders>
          <w:top w:val="outset" w:sz="6" w:space="0" w:color="auto"/>
          <w:left w:val="outset" w:sz="6" w:space="0" w:color="auto"/>
          <w:bottom w:val="outset" w:sz="6" w:space="0" w:color="auto"/>
          <w:right w:val="outset" w:sz="6" w:space="0" w:color="auto"/>
        </w:tblBorders>
        <w:shd w:val="clear" w:color="auto" w:fill="E1CCF0"/>
        <w:tblCellMar>
          <w:left w:w="0" w:type="dxa"/>
          <w:right w:w="0" w:type="dxa"/>
        </w:tblCellMar>
        <w:tblLook w:val="04A0" w:firstRow="1" w:lastRow="0" w:firstColumn="1" w:lastColumn="0" w:noHBand="0" w:noVBand="1"/>
        <w:tblCaption w:val="Table 7: Barnsley Five Year Supply Summary (2021/22 to 2025/26)"/>
      </w:tblPr>
      <w:tblGrid>
        <w:gridCol w:w="7290"/>
        <w:gridCol w:w="2475"/>
      </w:tblGrid>
      <w:tr w:rsidR="006A4BA3" w:rsidRPr="008704B4" w14:paraId="17705368" w14:textId="77777777" w:rsidTr="006A4BA3">
        <w:trPr>
          <w:trHeight w:val="300"/>
        </w:trPr>
        <w:tc>
          <w:tcPr>
            <w:tcW w:w="9765" w:type="dxa"/>
            <w:gridSpan w:val="2"/>
            <w:tcBorders>
              <w:top w:val="single" w:sz="6" w:space="0" w:color="auto"/>
              <w:left w:val="single" w:sz="6" w:space="0" w:color="auto"/>
              <w:bottom w:val="single" w:sz="6" w:space="0" w:color="auto"/>
              <w:right w:val="single" w:sz="6" w:space="0" w:color="auto"/>
            </w:tcBorders>
            <w:shd w:val="clear" w:color="auto" w:fill="E1CCF0"/>
            <w:vAlign w:val="bottom"/>
            <w:hideMark/>
          </w:tcPr>
          <w:p w14:paraId="497B3A17" w14:textId="77777777" w:rsidR="006A4BA3" w:rsidRPr="008704B4" w:rsidRDefault="006A4BA3" w:rsidP="006A4BA3">
            <w:pPr>
              <w:divId w:val="850875594"/>
              <w:rPr>
                <w:rFonts w:ascii="Arial" w:hAnsi="Arial" w:cs="Arial"/>
                <w:lang w:val="en-GB"/>
              </w:rPr>
            </w:pPr>
            <w:r w:rsidRPr="008704B4">
              <w:rPr>
                <w:rFonts w:ascii="Arial" w:hAnsi="Arial" w:cs="Arial"/>
                <w:b/>
                <w:bCs/>
                <w:lang w:val="en-GB"/>
              </w:rPr>
              <w:t>Five Year Supply Summary</w:t>
            </w:r>
            <w:r w:rsidRPr="008704B4">
              <w:rPr>
                <w:rFonts w:ascii="Arial" w:hAnsi="Arial" w:cs="Arial"/>
                <w:lang w:val="en-GB"/>
              </w:rPr>
              <w:t> </w:t>
            </w:r>
          </w:p>
        </w:tc>
      </w:tr>
      <w:tr w:rsidR="006A4BA3" w:rsidRPr="008704B4" w14:paraId="353F0561"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4B3C8875" w14:textId="77777777" w:rsidR="006A4BA3" w:rsidRPr="008704B4" w:rsidRDefault="006A4BA3" w:rsidP="006A4BA3">
            <w:pPr>
              <w:rPr>
                <w:rFonts w:ascii="Arial" w:hAnsi="Arial" w:cs="Arial"/>
                <w:lang w:val="en-GB"/>
              </w:rPr>
            </w:pPr>
            <w:r w:rsidRPr="008704B4">
              <w:rPr>
                <w:rFonts w:ascii="Arial" w:hAnsi="Arial" w:cs="Arial"/>
                <w:b/>
                <w:bCs/>
                <w:lang w:val="en-GB"/>
              </w:rPr>
              <w:t>Category</w:t>
            </w:r>
            <w:r w:rsidRPr="008704B4">
              <w:rPr>
                <w:rFonts w:ascii="Arial" w:hAnsi="Arial" w:cs="Arial"/>
                <w:lang w:val="en-GB"/>
              </w:rPr>
              <w:t> </w:t>
            </w:r>
          </w:p>
        </w:tc>
        <w:tc>
          <w:tcPr>
            <w:tcW w:w="2475" w:type="dxa"/>
            <w:tcBorders>
              <w:top w:val="single" w:sz="6" w:space="0" w:color="auto"/>
              <w:left w:val="single" w:sz="6" w:space="0" w:color="auto"/>
              <w:bottom w:val="single" w:sz="6" w:space="0" w:color="auto"/>
              <w:right w:val="single" w:sz="6" w:space="0" w:color="auto"/>
            </w:tcBorders>
            <w:shd w:val="clear" w:color="auto" w:fill="E1CCF0"/>
            <w:vAlign w:val="bottom"/>
            <w:hideMark/>
          </w:tcPr>
          <w:p w14:paraId="6C4BDBE0" w14:textId="77777777" w:rsidR="006A4BA3" w:rsidRPr="008704B4" w:rsidRDefault="006A4BA3" w:rsidP="006A4BA3">
            <w:pPr>
              <w:rPr>
                <w:rFonts w:ascii="Arial" w:hAnsi="Arial" w:cs="Arial"/>
                <w:lang w:val="en-GB"/>
              </w:rPr>
            </w:pPr>
            <w:r w:rsidRPr="008704B4">
              <w:rPr>
                <w:rFonts w:ascii="Arial" w:hAnsi="Arial" w:cs="Arial"/>
                <w:b/>
                <w:bCs/>
                <w:lang w:val="en-GB"/>
              </w:rPr>
              <w:t>Deliverable Dwellings</w:t>
            </w:r>
            <w:r w:rsidRPr="008704B4">
              <w:rPr>
                <w:rFonts w:ascii="Arial" w:hAnsi="Arial" w:cs="Arial"/>
                <w:lang w:val="en-GB"/>
              </w:rPr>
              <w:t> </w:t>
            </w:r>
          </w:p>
        </w:tc>
      </w:tr>
      <w:tr w:rsidR="006A4BA3" w:rsidRPr="008704B4" w14:paraId="4EA2C4E3"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4DBE2E62" w14:textId="77777777" w:rsidR="006A4BA3" w:rsidRPr="008704B4" w:rsidRDefault="006A4BA3" w:rsidP="006A4BA3">
            <w:pPr>
              <w:rPr>
                <w:rFonts w:ascii="Arial" w:hAnsi="Arial" w:cs="Arial"/>
                <w:lang w:val="en-GB"/>
              </w:rPr>
            </w:pPr>
            <w:r w:rsidRPr="008704B4">
              <w:rPr>
                <w:rFonts w:ascii="Arial" w:hAnsi="Arial" w:cs="Arial"/>
                <w:lang w:val="en-GB"/>
              </w:rPr>
              <w:t>Non allocated planning permissions &gt; 10 dwellings </w:t>
            </w:r>
          </w:p>
        </w:tc>
        <w:tc>
          <w:tcPr>
            <w:tcW w:w="2475" w:type="dxa"/>
            <w:tcBorders>
              <w:top w:val="single" w:sz="6" w:space="0" w:color="auto"/>
              <w:left w:val="single" w:sz="6" w:space="0" w:color="auto"/>
              <w:bottom w:val="single" w:sz="6" w:space="0" w:color="auto"/>
              <w:right w:val="single" w:sz="6" w:space="0" w:color="auto"/>
            </w:tcBorders>
            <w:shd w:val="clear" w:color="auto" w:fill="E1CCF0"/>
            <w:hideMark/>
          </w:tcPr>
          <w:p w14:paraId="14063EC5" w14:textId="77777777" w:rsidR="006A4BA3" w:rsidRPr="008704B4" w:rsidRDefault="006A4BA3" w:rsidP="006A4BA3">
            <w:pPr>
              <w:rPr>
                <w:rFonts w:ascii="Arial" w:hAnsi="Arial" w:cs="Arial"/>
                <w:lang w:val="en-GB"/>
              </w:rPr>
            </w:pPr>
            <w:r w:rsidRPr="008704B4">
              <w:rPr>
                <w:rFonts w:ascii="Arial" w:hAnsi="Arial" w:cs="Arial"/>
                <w:lang w:val="en-GB"/>
              </w:rPr>
              <w:t>217 </w:t>
            </w:r>
          </w:p>
        </w:tc>
      </w:tr>
      <w:tr w:rsidR="006A4BA3" w:rsidRPr="008704B4" w14:paraId="7FECFEA1"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55681094" w14:textId="77777777" w:rsidR="006A4BA3" w:rsidRPr="008704B4" w:rsidRDefault="006A4BA3" w:rsidP="006A4BA3">
            <w:pPr>
              <w:rPr>
                <w:rFonts w:ascii="Arial" w:hAnsi="Arial" w:cs="Arial"/>
                <w:lang w:val="en-GB"/>
              </w:rPr>
            </w:pPr>
            <w:r w:rsidRPr="008704B4">
              <w:rPr>
                <w:rFonts w:ascii="Arial" w:hAnsi="Arial" w:cs="Arial"/>
                <w:lang w:val="en-GB"/>
              </w:rPr>
              <w:t>Non allocated planning permissions &lt; 10 dwellings (assumption) </w:t>
            </w:r>
          </w:p>
        </w:tc>
        <w:tc>
          <w:tcPr>
            <w:tcW w:w="2475" w:type="dxa"/>
            <w:tcBorders>
              <w:top w:val="single" w:sz="6" w:space="0" w:color="auto"/>
              <w:left w:val="single" w:sz="6" w:space="0" w:color="auto"/>
              <w:bottom w:val="single" w:sz="6" w:space="0" w:color="auto"/>
              <w:right w:val="single" w:sz="6" w:space="0" w:color="auto"/>
            </w:tcBorders>
            <w:shd w:val="clear" w:color="auto" w:fill="E1CCF0"/>
            <w:hideMark/>
          </w:tcPr>
          <w:p w14:paraId="1450EEFC" w14:textId="77777777" w:rsidR="006A4BA3" w:rsidRPr="008704B4" w:rsidRDefault="006A4BA3" w:rsidP="006A4BA3">
            <w:pPr>
              <w:rPr>
                <w:rFonts w:ascii="Arial" w:hAnsi="Arial" w:cs="Arial"/>
                <w:lang w:val="en-GB"/>
              </w:rPr>
            </w:pPr>
            <w:r w:rsidRPr="008704B4">
              <w:rPr>
                <w:rFonts w:ascii="Arial" w:hAnsi="Arial" w:cs="Arial"/>
                <w:lang w:val="en-GB"/>
              </w:rPr>
              <w:t>310 </w:t>
            </w:r>
          </w:p>
        </w:tc>
      </w:tr>
      <w:tr w:rsidR="006A4BA3" w:rsidRPr="008704B4" w14:paraId="19FD0C3E"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41F15276" w14:textId="77777777" w:rsidR="006A4BA3" w:rsidRPr="008704B4" w:rsidRDefault="006A4BA3" w:rsidP="006A4BA3">
            <w:pPr>
              <w:rPr>
                <w:rFonts w:ascii="Arial" w:hAnsi="Arial" w:cs="Arial"/>
                <w:lang w:val="en-GB"/>
              </w:rPr>
            </w:pPr>
            <w:r w:rsidRPr="008704B4">
              <w:rPr>
                <w:rFonts w:ascii="Arial" w:hAnsi="Arial" w:cs="Arial"/>
                <w:lang w:val="en-GB"/>
              </w:rPr>
              <w:t>Local Plan allocations and planning permissions on local plan allocations </w:t>
            </w:r>
          </w:p>
        </w:tc>
        <w:tc>
          <w:tcPr>
            <w:tcW w:w="2475" w:type="dxa"/>
            <w:tcBorders>
              <w:top w:val="single" w:sz="6" w:space="0" w:color="auto"/>
              <w:left w:val="single" w:sz="6" w:space="0" w:color="auto"/>
              <w:bottom w:val="single" w:sz="6" w:space="0" w:color="auto"/>
              <w:right w:val="single" w:sz="6" w:space="0" w:color="auto"/>
            </w:tcBorders>
            <w:shd w:val="clear" w:color="auto" w:fill="E1CCF0"/>
            <w:hideMark/>
          </w:tcPr>
          <w:p w14:paraId="61F548F7" w14:textId="77777777" w:rsidR="006A4BA3" w:rsidRPr="008704B4" w:rsidRDefault="006A4BA3" w:rsidP="006A4BA3">
            <w:pPr>
              <w:rPr>
                <w:rFonts w:ascii="Arial" w:hAnsi="Arial" w:cs="Arial"/>
                <w:lang w:val="en-GB"/>
              </w:rPr>
            </w:pPr>
            <w:r w:rsidRPr="008704B4">
              <w:rPr>
                <w:rFonts w:ascii="Arial" w:hAnsi="Arial" w:cs="Arial"/>
                <w:lang w:val="en-GB"/>
              </w:rPr>
              <w:t>4595 </w:t>
            </w:r>
          </w:p>
        </w:tc>
      </w:tr>
      <w:tr w:rsidR="006A4BA3" w:rsidRPr="008704B4" w14:paraId="19564980" w14:textId="77777777" w:rsidTr="006A4BA3">
        <w:trPr>
          <w:trHeight w:val="300"/>
        </w:trPr>
        <w:tc>
          <w:tcPr>
            <w:tcW w:w="7290" w:type="dxa"/>
            <w:tcBorders>
              <w:top w:val="single" w:sz="6" w:space="0" w:color="auto"/>
              <w:left w:val="single" w:sz="6" w:space="0" w:color="auto"/>
              <w:bottom w:val="nil"/>
              <w:right w:val="single" w:sz="6" w:space="0" w:color="auto"/>
            </w:tcBorders>
            <w:shd w:val="clear" w:color="auto" w:fill="E1CCF0"/>
            <w:vAlign w:val="center"/>
            <w:hideMark/>
          </w:tcPr>
          <w:p w14:paraId="1BCB5834" w14:textId="77777777" w:rsidR="006A4BA3" w:rsidRPr="008704B4" w:rsidRDefault="006A4BA3" w:rsidP="006A4BA3">
            <w:pPr>
              <w:rPr>
                <w:rFonts w:ascii="Arial" w:hAnsi="Arial" w:cs="Arial"/>
                <w:lang w:val="en-GB"/>
              </w:rPr>
            </w:pPr>
            <w:r w:rsidRPr="008704B4">
              <w:rPr>
                <w:rFonts w:ascii="Arial" w:hAnsi="Arial" w:cs="Arial"/>
                <w:lang w:val="en-GB"/>
              </w:rPr>
              <w:t>Windfall Allowance </w:t>
            </w:r>
          </w:p>
        </w:tc>
        <w:tc>
          <w:tcPr>
            <w:tcW w:w="2475" w:type="dxa"/>
            <w:tcBorders>
              <w:top w:val="single" w:sz="6" w:space="0" w:color="auto"/>
              <w:left w:val="single" w:sz="6" w:space="0" w:color="auto"/>
              <w:bottom w:val="nil"/>
              <w:right w:val="single" w:sz="6" w:space="0" w:color="auto"/>
            </w:tcBorders>
            <w:shd w:val="clear" w:color="auto" w:fill="E1CCF0"/>
            <w:hideMark/>
          </w:tcPr>
          <w:p w14:paraId="630386C6" w14:textId="77777777" w:rsidR="006A4BA3" w:rsidRPr="008704B4" w:rsidRDefault="006A4BA3" w:rsidP="006A4BA3">
            <w:pPr>
              <w:rPr>
                <w:rFonts w:ascii="Arial" w:hAnsi="Arial" w:cs="Arial"/>
                <w:lang w:val="en-GB"/>
              </w:rPr>
            </w:pPr>
            <w:r w:rsidRPr="008704B4">
              <w:rPr>
                <w:rFonts w:ascii="Arial" w:hAnsi="Arial" w:cs="Arial"/>
                <w:lang w:val="en-GB"/>
              </w:rPr>
              <w:t>631 </w:t>
            </w:r>
          </w:p>
        </w:tc>
      </w:tr>
      <w:tr w:rsidR="006A4BA3" w:rsidRPr="008704B4" w14:paraId="51200140"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1E4E78BC" w14:textId="77777777" w:rsidR="006A4BA3" w:rsidRPr="008704B4" w:rsidRDefault="006A4BA3" w:rsidP="006A4BA3">
            <w:pPr>
              <w:rPr>
                <w:rFonts w:ascii="Arial" w:hAnsi="Arial" w:cs="Arial"/>
                <w:lang w:val="en-GB"/>
              </w:rPr>
            </w:pPr>
            <w:r w:rsidRPr="008704B4">
              <w:rPr>
                <w:rFonts w:ascii="Arial" w:hAnsi="Arial" w:cs="Arial"/>
                <w:lang w:val="en-GB"/>
              </w:rPr>
              <w:t>Five Year Deliverable Supply Total </w:t>
            </w:r>
          </w:p>
        </w:tc>
        <w:tc>
          <w:tcPr>
            <w:tcW w:w="2475" w:type="dxa"/>
            <w:tcBorders>
              <w:top w:val="single" w:sz="6" w:space="0" w:color="auto"/>
              <w:left w:val="single" w:sz="6" w:space="0" w:color="auto"/>
              <w:bottom w:val="single" w:sz="6" w:space="0" w:color="auto"/>
              <w:right w:val="single" w:sz="6" w:space="0" w:color="auto"/>
            </w:tcBorders>
            <w:shd w:val="clear" w:color="auto" w:fill="E1CCF0"/>
            <w:hideMark/>
          </w:tcPr>
          <w:p w14:paraId="437A97D8" w14:textId="77777777" w:rsidR="006A4BA3" w:rsidRPr="008704B4" w:rsidRDefault="006A4BA3" w:rsidP="006A4BA3">
            <w:pPr>
              <w:rPr>
                <w:rFonts w:ascii="Arial" w:hAnsi="Arial" w:cs="Arial"/>
                <w:lang w:val="en-GB"/>
              </w:rPr>
            </w:pPr>
            <w:r w:rsidRPr="008704B4">
              <w:rPr>
                <w:rFonts w:ascii="Arial" w:hAnsi="Arial" w:cs="Arial"/>
                <w:lang w:val="en-GB"/>
              </w:rPr>
              <w:t>5753 </w:t>
            </w:r>
          </w:p>
        </w:tc>
      </w:tr>
      <w:tr w:rsidR="006A4BA3" w:rsidRPr="008704B4" w14:paraId="7E28D346" w14:textId="77777777" w:rsidTr="006A4BA3">
        <w:trPr>
          <w:trHeight w:val="300"/>
        </w:trPr>
        <w:tc>
          <w:tcPr>
            <w:tcW w:w="7290" w:type="dxa"/>
            <w:tcBorders>
              <w:top w:val="single" w:sz="6" w:space="0" w:color="auto"/>
              <w:left w:val="single" w:sz="6" w:space="0" w:color="auto"/>
              <w:bottom w:val="single" w:sz="24" w:space="0" w:color="auto"/>
              <w:right w:val="single" w:sz="6" w:space="0" w:color="auto"/>
            </w:tcBorders>
            <w:shd w:val="clear" w:color="auto" w:fill="E1CCF0"/>
            <w:vAlign w:val="center"/>
            <w:hideMark/>
          </w:tcPr>
          <w:p w14:paraId="53DCCE8A" w14:textId="77777777" w:rsidR="006A4BA3" w:rsidRPr="008704B4" w:rsidRDefault="006A4BA3" w:rsidP="006A4BA3">
            <w:pPr>
              <w:rPr>
                <w:rFonts w:ascii="Arial" w:hAnsi="Arial" w:cs="Arial"/>
                <w:lang w:val="en-GB"/>
              </w:rPr>
            </w:pPr>
            <w:r w:rsidRPr="008704B4">
              <w:rPr>
                <w:rFonts w:ascii="Arial" w:hAnsi="Arial" w:cs="Arial"/>
                <w:lang w:val="en-GB"/>
              </w:rPr>
              <w:t>Predicted Losses </w:t>
            </w:r>
          </w:p>
        </w:tc>
        <w:tc>
          <w:tcPr>
            <w:tcW w:w="2475" w:type="dxa"/>
            <w:tcBorders>
              <w:top w:val="single" w:sz="6" w:space="0" w:color="auto"/>
              <w:left w:val="single" w:sz="6" w:space="0" w:color="auto"/>
              <w:bottom w:val="single" w:sz="24" w:space="0" w:color="auto"/>
              <w:right w:val="single" w:sz="6" w:space="0" w:color="auto"/>
            </w:tcBorders>
            <w:shd w:val="clear" w:color="auto" w:fill="E1CCF0"/>
            <w:hideMark/>
          </w:tcPr>
          <w:p w14:paraId="58EC5940" w14:textId="77777777" w:rsidR="006A4BA3" w:rsidRPr="008704B4" w:rsidRDefault="006A4BA3" w:rsidP="006A4BA3">
            <w:pPr>
              <w:rPr>
                <w:rFonts w:ascii="Arial" w:hAnsi="Arial" w:cs="Arial"/>
                <w:lang w:val="en-GB"/>
              </w:rPr>
            </w:pPr>
            <w:r w:rsidRPr="008704B4">
              <w:rPr>
                <w:rFonts w:ascii="Arial" w:hAnsi="Arial" w:cs="Arial"/>
                <w:lang w:val="en-GB"/>
              </w:rPr>
              <w:t>45 </w:t>
            </w:r>
          </w:p>
        </w:tc>
      </w:tr>
      <w:tr w:rsidR="006A4BA3" w:rsidRPr="008704B4" w14:paraId="452CF58D" w14:textId="77777777" w:rsidTr="006A4BA3">
        <w:trPr>
          <w:trHeight w:val="300"/>
        </w:trPr>
        <w:tc>
          <w:tcPr>
            <w:tcW w:w="7290" w:type="dxa"/>
            <w:tcBorders>
              <w:top w:val="single" w:sz="24" w:space="0" w:color="auto"/>
              <w:left w:val="single" w:sz="24" w:space="0" w:color="auto"/>
              <w:bottom w:val="single" w:sz="24" w:space="0" w:color="auto"/>
              <w:right w:val="single" w:sz="6" w:space="0" w:color="auto"/>
            </w:tcBorders>
            <w:shd w:val="clear" w:color="auto" w:fill="E1CCF0"/>
            <w:vAlign w:val="center"/>
            <w:hideMark/>
          </w:tcPr>
          <w:p w14:paraId="7F3E1B43" w14:textId="77777777" w:rsidR="006A4BA3" w:rsidRPr="008704B4" w:rsidRDefault="006A4BA3" w:rsidP="006A4BA3">
            <w:pPr>
              <w:rPr>
                <w:rFonts w:ascii="Arial" w:hAnsi="Arial" w:cs="Arial"/>
                <w:b/>
                <w:bCs/>
                <w:lang w:val="en-GB"/>
              </w:rPr>
            </w:pPr>
            <w:r w:rsidRPr="008704B4">
              <w:rPr>
                <w:rFonts w:ascii="Arial" w:hAnsi="Arial" w:cs="Arial"/>
                <w:b/>
                <w:bCs/>
                <w:lang w:val="en-GB"/>
              </w:rPr>
              <w:t>Five Year Deliverable Net Supply Total </w:t>
            </w:r>
          </w:p>
        </w:tc>
        <w:tc>
          <w:tcPr>
            <w:tcW w:w="2475" w:type="dxa"/>
            <w:tcBorders>
              <w:top w:val="single" w:sz="24" w:space="0" w:color="auto"/>
              <w:left w:val="single" w:sz="6" w:space="0" w:color="auto"/>
              <w:bottom w:val="single" w:sz="24" w:space="0" w:color="auto"/>
              <w:right w:val="single" w:sz="24" w:space="0" w:color="auto"/>
            </w:tcBorders>
            <w:shd w:val="clear" w:color="auto" w:fill="E1CCF0"/>
            <w:hideMark/>
          </w:tcPr>
          <w:p w14:paraId="0CA8DCD8" w14:textId="77777777" w:rsidR="006A4BA3" w:rsidRPr="008704B4" w:rsidRDefault="006A4BA3" w:rsidP="006A4BA3">
            <w:pPr>
              <w:rPr>
                <w:rFonts w:ascii="Arial" w:hAnsi="Arial" w:cs="Arial"/>
                <w:b/>
                <w:bCs/>
                <w:lang w:val="en-GB"/>
              </w:rPr>
            </w:pPr>
            <w:r w:rsidRPr="008704B4">
              <w:rPr>
                <w:rFonts w:ascii="Arial" w:hAnsi="Arial" w:cs="Arial"/>
                <w:b/>
                <w:bCs/>
                <w:lang w:val="en-GB"/>
              </w:rPr>
              <w:t>5708 </w:t>
            </w:r>
          </w:p>
        </w:tc>
      </w:tr>
    </w:tbl>
    <w:p w14:paraId="40BE9F8C" w14:textId="77777777" w:rsidR="00DD6188" w:rsidRPr="00C629AB" w:rsidRDefault="00DD6188" w:rsidP="00486C72">
      <w:pPr>
        <w:rPr>
          <w:rFonts w:ascii="Arial" w:hAnsi="Arial" w:cs="Arial"/>
          <w:b/>
          <w:bCs/>
          <w:sz w:val="24"/>
          <w:szCs w:val="24"/>
          <w:lang w:val="en-GB"/>
        </w:rPr>
      </w:pPr>
    </w:p>
    <w:p w14:paraId="17317A87" w14:textId="77777777" w:rsidR="00275A79" w:rsidRDefault="00275A79" w:rsidP="00486C72">
      <w:pPr>
        <w:rPr>
          <w:rFonts w:ascii="Arial" w:hAnsi="Arial" w:cs="Arial"/>
          <w:b/>
          <w:bCs/>
          <w:sz w:val="24"/>
          <w:szCs w:val="24"/>
          <w:lang w:val="en-GB"/>
        </w:rPr>
        <w:sectPr w:rsidR="00275A79" w:rsidSect="00275A79">
          <w:headerReference w:type="default" r:id="rId10"/>
          <w:pgSz w:w="12240" w:h="15840"/>
          <w:pgMar w:top="720" w:right="720" w:bottom="720" w:left="720" w:header="720" w:footer="720" w:gutter="0"/>
          <w:cols w:space="720"/>
          <w:docGrid w:linePitch="360"/>
        </w:sectPr>
      </w:pPr>
    </w:p>
    <w:p w14:paraId="545ED4F7" w14:textId="6E294811" w:rsidR="00486C72" w:rsidRPr="005A7949" w:rsidRDefault="00486C72" w:rsidP="009153C7">
      <w:pPr>
        <w:pStyle w:val="Proofheading"/>
        <w:numPr>
          <w:ilvl w:val="0"/>
          <w:numId w:val="0"/>
        </w:numPr>
        <w:ind w:left="357" w:hanging="357"/>
        <w:rPr>
          <w:lang w:val="en-GB"/>
        </w:rPr>
      </w:pPr>
      <w:r w:rsidRPr="005A7949">
        <w:rPr>
          <w:lang w:val="en-GB"/>
        </w:rPr>
        <w:lastRenderedPageBreak/>
        <w:t>The Council’s five year land supply position</w:t>
      </w:r>
    </w:p>
    <w:p w14:paraId="6251BD6C" w14:textId="21FCE095" w:rsidR="005A7949" w:rsidRDefault="00486C72" w:rsidP="00362D3F">
      <w:pPr>
        <w:pStyle w:val="Proofpara"/>
      </w:pPr>
      <w:r w:rsidRPr="00C629AB">
        <w:t xml:space="preserve">The Council’s estimated housing land supply position has been determined making use of the methodology for assessing its deliverable five year housing land supply set out in the Barnsley Five Year Deliverable Housing Land Supply Report (April 2021-March 2026).  </w:t>
      </w:r>
      <w:r w:rsidR="00B9536E" w:rsidRPr="00C629AB">
        <w:t xml:space="preserve">The methodology is not repeated </w:t>
      </w:r>
      <w:r w:rsidR="008F6B88">
        <w:t xml:space="preserve">in full </w:t>
      </w:r>
      <w:r w:rsidR="00B9536E" w:rsidRPr="00C629AB">
        <w:t xml:space="preserve">here.  The following paragraphs provide updated </w:t>
      </w:r>
      <w:r w:rsidR="0061536B" w:rsidRPr="00C629AB">
        <w:t>information with regard to the base date of 1 April 2024.</w:t>
      </w:r>
    </w:p>
    <w:p w14:paraId="7CAF08FE" w14:textId="6CA36567" w:rsidR="009153C7" w:rsidRPr="00E24734" w:rsidRDefault="009153C7" w:rsidP="00344D18">
      <w:pPr>
        <w:pStyle w:val="Proofheading"/>
        <w:numPr>
          <w:ilvl w:val="0"/>
          <w:numId w:val="0"/>
        </w:numPr>
        <w:ind w:left="357" w:hanging="357"/>
      </w:pPr>
      <w:r w:rsidRPr="00E24734">
        <w:t>Housing Requirement</w:t>
      </w:r>
    </w:p>
    <w:p w14:paraId="6FFCFD46" w14:textId="3F118CC1" w:rsidR="005A7949" w:rsidRPr="00362D3F" w:rsidRDefault="005F58C4" w:rsidP="00362D3F">
      <w:pPr>
        <w:pStyle w:val="Proofpara"/>
        <w:rPr>
          <w:lang w:val="en-GB"/>
        </w:rPr>
      </w:pPr>
      <w:r w:rsidRPr="00C629AB">
        <w:rPr>
          <w:lang w:val="en-GB"/>
        </w:rPr>
        <w:t xml:space="preserve">The Council considers that </w:t>
      </w:r>
      <w:r w:rsidR="00107B0B" w:rsidRPr="00C629AB">
        <w:rPr>
          <w:lang w:val="en-GB"/>
        </w:rPr>
        <w:t>the housing requirement for the period 2024/25 to 2028/29 is 9215 dwellings, having accounted for shortfall in housing deli</w:t>
      </w:r>
      <w:r w:rsidR="002C0FD7" w:rsidRPr="00C629AB">
        <w:rPr>
          <w:lang w:val="en-GB"/>
        </w:rPr>
        <w:t>very against housing requirement since the start of the plan period and consideration of whether an additional buffer should be applied.</w:t>
      </w:r>
    </w:p>
    <w:p w14:paraId="63A4C941" w14:textId="4D3BE70A" w:rsidR="005A7949" w:rsidRPr="00362D3F" w:rsidRDefault="00E97667" w:rsidP="00E24734">
      <w:pPr>
        <w:pStyle w:val="Proofpara"/>
        <w:numPr>
          <w:ilvl w:val="0"/>
          <w:numId w:val="0"/>
        </w:numPr>
        <w:ind w:left="720"/>
        <w:rPr>
          <w:b/>
          <w:bCs/>
          <w:lang w:val="en-GB"/>
        </w:rPr>
      </w:pPr>
      <w:r w:rsidRPr="00C629AB">
        <w:rPr>
          <w:b/>
          <w:bCs/>
          <w:lang w:val="en-GB"/>
        </w:rPr>
        <w:t>Approach to dealing with shortfall</w:t>
      </w:r>
    </w:p>
    <w:p w14:paraId="2E074051" w14:textId="6C138883" w:rsidR="005A7949" w:rsidRPr="000C04F2" w:rsidRDefault="00E97667" w:rsidP="001D0FB0">
      <w:pPr>
        <w:pStyle w:val="Proofpara"/>
        <w:spacing w:after="0" w:line="240" w:lineRule="auto"/>
        <w:rPr>
          <w:rFonts w:cs="Arial"/>
          <w:szCs w:val="24"/>
          <w:lang w:val="en-GB"/>
        </w:rPr>
      </w:pPr>
      <w:r w:rsidRPr="000C04F2">
        <w:rPr>
          <w:lang w:val="en-GB"/>
        </w:rPr>
        <w:t>Table 1 below sets out net housing completions compared to annual housing requirement</w:t>
      </w:r>
      <w:r w:rsidR="001D13EA" w:rsidRPr="000C04F2">
        <w:rPr>
          <w:lang w:val="en-GB"/>
        </w:rPr>
        <w:t xml:space="preserve"> from the start of the plan period.</w:t>
      </w:r>
    </w:p>
    <w:p w14:paraId="0976476E" w14:textId="77777777" w:rsidR="000C04F2" w:rsidRPr="000C04F2" w:rsidRDefault="000C04F2" w:rsidP="000C04F2">
      <w:pPr>
        <w:pStyle w:val="Proofpara"/>
        <w:numPr>
          <w:ilvl w:val="0"/>
          <w:numId w:val="0"/>
        </w:numPr>
        <w:spacing w:after="0" w:line="240" w:lineRule="auto"/>
        <w:ind w:left="720"/>
        <w:rPr>
          <w:rFonts w:cs="Arial"/>
          <w:szCs w:val="24"/>
          <w:lang w:val="en-GB"/>
        </w:rPr>
      </w:pPr>
    </w:p>
    <w:p w14:paraId="7D375302" w14:textId="77777777" w:rsidR="00273D4D" w:rsidRPr="00C629AB" w:rsidRDefault="00273D4D" w:rsidP="00273D4D">
      <w:pPr>
        <w:ind w:firstLine="360"/>
        <w:rPr>
          <w:rFonts w:ascii="Arial" w:hAnsi="Arial" w:cs="Arial"/>
          <w:b/>
          <w:bCs/>
          <w:sz w:val="24"/>
          <w:szCs w:val="24"/>
        </w:rPr>
      </w:pPr>
      <w:r w:rsidRPr="00C629AB">
        <w:rPr>
          <w:rFonts w:ascii="Arial" w:hAnsi="Arial" w:cs="Arial"/>
          <w:b/>
          <w:bCs/>
          <w:sz w:val="24"/>
          <w:szCs w:val="24"/>
        </w:rPr>
        <w:t>Table 1: Net housing completions April 2014 – March 2024</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1: Net housing completions April 2014 – March 2021"/>
      </w:tblPr>
      <w:tblGrid>
        <w:gridCol w:w="1130"/>
        <w:gridCol w:w="1414"/>
        <w:gridCol w:w="1270"/>
        <w:gridCol w:w="1604"/>
        <w:gridCol w:w="1669"/>
        <w:gridCol w:w="2835"/>
      </w:tblGrid>
      <w:tr w:rsidR="00273D4D" w:rsidRPr="00EC0F5F" w14:paraId="64AF3B1E" w14:textId="77777777" w:rsidTr="00FD7DE7">
        <w:tc>
          <w:tcPr>
            <w:tcW w:w="1130" w:type="dxa"/>
            <w:shd w:val="clear" w:color="auto" w:fill="E1CCF0"/>
            <w:tcMar>
              <w:top w:w="28" w:type="dxa"/>
              <w:bottom w:w="28" w:type="dxa"/>
            </w:tcMar>
            <w:vAlign w:val="center"/>
            <w:hideMark/>
          </w:tcPr>
          <w:p w14:paraId="4E7880BE"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Year</w:t>
            </w:r>
          </w:p>
        </w:tc>
        <w:tc>
          <w:tcPr>
            <w:tcW w:w="1414" w:type="dxa"/>
            <w:shd w:val="clear" w:color="auto" w:fill="E1CCF0"/>
            <w:tcMar>
              <w:top w:w="28" w:type="dxa"/>
              <w:bottom w:w="28" w:type="dxa"/>
            </w:tcMar>
            <w:vAlign w:val="center"/>
            <w:hideMark/>
          </w:tcPr>
          <w:p w14:paraId="7FEFCD2A"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Gross dwellings</w:t>
            </w:r>
          </w:p>
        </w:tc>
        <w:tc>
          <w:tcPr>
            <w:tcW w:w="1270" w:type="dxa"/>
            <w:shd w:val="clear" w:color="auto" w:fill="E1CCF0"/>
            <w:tcMar>
              <w:top w:w="28" w:type="dxa"/>
              <w:bottom w:w="28" w:type="dxa"/>
            </w:tcMar>
            <w:vAlign w:val="center"/>
            <w:hideMark/>
          </w:tcPr>
          <w:p w14:paraId="2D9EC3CA"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Losses</w:t>
            </w:r>
          </w:p>
        </w:tc>
        <w:tc>
          <w:tcPr>
            <w:tcW w:w="1604" w:type="dxa"/>
            <w:shd w:val="clear" w:color="auto" w:fill="E1CCF0"/>
            <w:tcMar>
              <w:top w:w="28" w:type="dxa"/>
              <w:bottom w:w="28" w:type="dxa"/>
            </w:tcMar>
            <w:vAlign w:val="center"/>
            <w:hideMark/>
          </w:tcPr>
          <w:p w14:paraId="3EC9D5DA"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Net requirement</w:t>
            </w:r>
          </w:p>
        </w:tc>
        <w:tc>
          <w:tcPr>
            <w:tcW w:w="1669" w:type="dxa"/>
            <w:shd w:val="clear" w:color="auto" w:fill="E1CCF0"/>
            <w:tcMar>
              <w:top w:w="28" w:type="dxa"/>
              <w:bottom w:w="28" w:type="dxa"/>
            </w:tcMar>
            <w:vAlign w:val="center"/>
            <w:hideMark/>
          </w:tcPr>
          <w:p w14:paraId="601DF23F"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Net completions</w:t>
            </w:r>
          </w:p>
        </w:tc>
        <w:tc>
          <w:tcPr>
            <w:tcW w:w="2835" w:type="dxa"/>
            <w:shd w:val="clear" w:color="auto" w:fill="E1CCF0"/>
            <w:tcMar>
              <w:top w:w="28" w:type="dxa"/>
              <w:bottom w:w="28" w:type="dxa"/>
            </w:tcMar>
            <w:vAlign w:val="center"/>
            <w:hideMark/>
          </w:tcPr>
          <w:p w14:paraId="77E343DC"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Difference between requirement and delivery</w:t>
            </w:r>
          </w:p>
        </w:tc>
      </w:tr>
      <w:tr w:rsidR="00273D4D" w:rsidRPr="00EC0F5F" w14:paraId="1FAF80C4" w14:textId="77777777" w:rsidTr="00FD7DE7">
        <w:trPr>
          <w:trHeight w:val="295"/>
        </w:trPr>
        <w:tc>
          <w:tcPr>
            <w:tcW w:w="1130" w:type="dxa"/>
            <w:tcBorders>
              <w:bottom w:val="single" w:sz="4" w:space="0" w:color="auto"/>
            </w:tcBorders>
            <w:shd w:val="clear" w:color="auto" w:fill="E1CCF0"/>
            <w:tcMar>
              <w:top w:w="28" w:type="dxa"/>
              <w:bottom w:w="28" w:type="dxa"/>
            </w:tcMar>
            <w:vAlign w:val="center"/>
            <w:hideMark/>
          </w:tcPr>
          <w:p w14:paraId="317BD2D4"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2014/15</w:t>
            </w:r>
          </w:p>
        </w:tc>
        <w:tc>
          <w:tcPr>
            <w:tcW w:w="1414" w:type="dxa"/>
            <w:tcBorders>
              <w:bottom w:val="single" w:sz="4" w:space="0" w:color="auto"/>
            </w:tcBorders>
            <w:shd w:val="clear" w:color="auto" w:fill="E1CCF0"/>
            <w:tcMar>
              <w:top w:w="28" w:type="dxa"/>
              <w:bottom w:w="28" w:type="dxa"/>
            </w:tcMar>
            <w:vAlign w:val="center"/>
            <w:hideMark/>
          </w:tcPr>
          <w:p w14:paraId="7653DC3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644</w:t>
            </w:r>
          </w:p>
        </w:tc>
        <w:tc>
          <w:tcPr>
            <w:tcW w:w="1270" w:type="dxa"/>
            <w:tcBorders>
              <w:bottom w:val="single" w:sz="4" w:space="0" w:color="auto"/>
            </w:tcBorders>
            <w:shd w:val="clear" w:color="auto" w:fill="E1CCF0"/>
            <w:tcMar>
              <w:top w:w="28" w:type="dxa"/>
              <w:bottom w:w="28" w:type="dxa"/>
            </w:tcMar>
            <w:vAlign w:val="center"/>
            <w:hideMark/>
          </w:tcPr>
          <w:p w14:paraId="0A332117"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22</w:t>
            </w:r>
          </w:p>
        </w:tc>
        <w:tc>
          <w:tcPr>
            <w:tcW w:w="1604" w:type="dxa"/>
            <w:tcBorders>
              <w:bottom w:val="single" w:sz="4" w:space="0" w:color="auto"/>
            </w:tcBorders>
            <w:shd w:val="clear" w:color="auto" w:fill="E1CCF0"/>
            <w:tcMar>
              <w:top w:w="28" w:type="dxa"/>
              <w:bottom w:w="28" w:type="dxa"/>
            </w:tcMar>
            <w:vAlign w:val="center"/>
            <w:hideMark/>
          </w:tcPr>
          <w:p w14:paraId="6689286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tcBorders>
              <w:bottom w:val="single" w:sz="4" w:space="0" w:color="auto"/>
            </w:tcBorders>
            <w:shd w:val="clear" w:color="auto" w:fill="E1CCF0"/>
            <w:tcMar>
              <w:top w:w="28" w:type="dxa"/>
              <w:bottom w:w="28" w:type="dxa"/>
            </w:tcMar>
            <w:vAlign w:val="center"/>
            <w:hideMark/>
          </w:tcPr>
          <w:p w14:paraId="36DECD7B"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622</w:t>
            </w:r>
          </w:p>
        </w:tc>
        <w:tc>
          <w:tcPr>
            <w:tcW w:w="2835" w:type="dxa"/>
            <w:tcBorders>
              <w:bottom w:val="single" w:sz="4" w:space="0" w:color="auto"/>
            </w:tcBorders>
            <w:shd w:val="clear" w:color="auto" w:fill="E1CCF0"/>
            <w:tcMar>
              <w:top w:w="28" w:type="dxa"/>
              <w:bottom w:w="28" w:type="dxa"/>
            </w:tcMar>
            <w:vAlign w:val="center"/>
            <w:hideMark/>
          </w:tcPr>
          <w:p w14:paraId="1C7DC30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-512</w:t>
            </w:r>
          </w:p>
        </w:tc>
      </w:tr>
      <w:tr w:rsidR="00273D4D" w:rsidRPr="00EC0F5F" w14:paraId="5D427DA7" w14:textId="77777777" w:rsidTr="00FD7DE7">
        <w:trPr>
          <w:trHeight w:val="295"/>
        </w:trPr>
        <w:tc>
          <w:tcPr>
            <w:tcW w:w="1130"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2AEBB2E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2015/16</w:t>
            </w:r>
          </w:p>
        </w:tc>
        <w:tc>
          <w:tcPr>
            <w:tcW w:w="1414"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2F3AF74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740</w:t>
            </w:r>
          </w:p>
        </w:tc>
        <w:tc>
          <w:tcPr>
            <w:tcW w:w="1270"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042D0A7B"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34</w:t>
            </w:r>
          </w:p>
        </w:tc>
        <w:tc>
          <w:tcPr>
            <w:tcW w:w="1604"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4EF7C03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1194D16C"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706</w:t>
            </w:r>
          </w:p>
        </w:tc>
        <w:tc>
          <w:tcPr>
            <w:tcW w:w="2835"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1532E9D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-428</w:t>
            </w:r>
          </w:p>
        </w:tc>
      </w:tr>
      <w:tr w:rsidR="00273D4D" w:rsidRPr="00EC0F5F" w14:paraId="192C3D55" w14:textId="77777777" w:rsidTr="00FD7DE7">
        <w:trPr>
          <w:trHeight w:val="295"/>
        </w:trPr>
        <w:tc>
          <w:tcPr>
            <w:tcW w:w="1130"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5ADB5C9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2016/17</w:t>
            </w:r>
          </w:p>
        </w:tc>
        <w:tc>
          <w:tcPr>
            <w:tcW w:w="1414"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2C7CD0EC"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872</w:t>
            </w:r>
          </w:p>
        </w:tc>
        <w:tc>
          <w:tcPr>
            <w:tcW w:w="1270"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4B67B81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16</w:t>
            </w:r>
          </w:p>
        </w:tc>
        <w:tc>
          <w:tcPr>
            <w:tcW w:w="1604"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650D1ED8"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436526E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856</w:t>
            </w:r>
          </w:p>
        </w:tc>
        <w:tc>
          <w:tcPr>
            <w:tcW w:w="2835"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1A931F8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-278</w:t>
            </w:r>
          </w:p>
        </w:tc>
      </w:tr>
      <w:tr w:rsidR="00273D4D" w:rsidRPr="00EC0F5F" w14:paraId="5BDEE3EC" w14:textId="77777777" w:rsidTr="00FD7DE7">
        <w:trPr>
          <w:trHeight w:val="295"/>
        </w:trPr>
        <w:tc>
          <w:tcPr>
            <w:tcW w:w="1130" w:type="dxa"/>
            <w:tcBorders>
              <w:top w:val="single" w:sz="4" w:space="0" w:color="auto"/>
            </w:tcBorders>
            <w:shd w:val="clear" w:color="auto" w:fill="E1CCF0"/>
            <w:tcMar>
              <w:top w:w="28" w:type="dxa"/>
              <w:bottom w:w="28" w:type="dxa"/>
            </w:tcMar>
            <w:vAlign w:val="center"/>
            <w:hideMark/>
          </w:tcPr>
          <w:p w14:paraId="5139927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2017/18</w:t>
            </w:r>
          </w:p>
        </w:tc>
        <w:tc>
          <w:tcPr>
            <w:tcW w:w="1414" w:type="dxa"/>
            <w:tcBorders>
              <w:top w:val="single" w:sz="4" w:space="0" w:color="auto"/>
            </w:tcBorders>
            <w:shd w:val="clear" w:color="auto" w:fill="E1CCF0"/>
            <w:tcMar>
              <w:top w:w="28" w:type="dxa"/>
              <w:bottom w:w="28" w:type="dxa"/>
            </w:tcMar>
            <w:vAlign w:val="center"/>
            <w:hideMark/>
          </w:tcPr>
          <w:p w14:paraId="28B495A1"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1037</w:t>
            </w:r>
          </w:p>
        </w:tc>
        <w:tc>
          <w:tcPr>
            <w:tcW w:w="1270" w:type="dxa"/>
            <w:tcBorders>
              <w:top w:val="single" w:sz="4" w:space="0" w:color="auto"/>
            </w:tcBorders>
            <w:shd w:val="clear" w:color="auto" w:fill="E1CCF0"/>
            <w:tcMar>
              <w:top w:w="28" w:type="dxa"/>
              <w:bottom w:w="28" w:type="dxa"/>
            </w:tcMar>
            <w:vAlign w:val="center"/>
            <w:hideMark/>
          </w:tcPr>
          <w:p w14:paraId="32DD1662"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29</w:t>
            </w:r>
          </w:p>
        </w:tc>
        <w:tc>
          <w:tcPr>
            <w:tcW w:w="1604" w:type="dxa"/>
            <w:tcBorders>
              <w:top w:val="single" w:sz="4" w:space="0" w:color="auto"/>
            </w:tcBorders>
            <w:shd w:val="clear" w:color="auto" w:fill="E1CCF0"/>
            <w:tcMar>
              <w:top w:w="28" w:type="dxa"/>
              <w:bottom w:w="28" w:type="dxa"/>
            </w:tcMar>
            <w:vAlign w:val="center"/>
            <w:hideMark/>
          </w:tcPr>
          <w:p w14:paraId="66B07FB9"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tcBorders>
              <w:top w:val="single" w:sz="4" w:space="0" w:color="auto"/>
            </w:tcBorders>
            <w:shd w:val="clear" w:color="auto" w:fill="E1CCF0"/>
            <w:tcMar>
              <w:top w:w="28" w:type="dxa"/>
              <w:bottom w:w="28" w:type="dxa"/>
            </w:tcMar>
            <w:vAlign w:val="center"/>
            <w:hideMark/>
          </w:tcPr>
          <w:p w14:paraId="1C20B90C"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1008</w:t>
            </w:r>
          </w:p>
        </w:tc>
        <w:tc>
          <w:tcPr>
            <w:tcW w:w="2835" w:type="dxa"/>
            <w:tcBorders>
              <w:top w:val="single" w:sz="4" w:space="0" w:color="auto"/>
            </w:tcBorders>
            <w:shd w:val="clear" w:color="auto" w:fill="E1CCF0"/>
            <w:tcMar>
              <w:top w:w="28" w:type="dxa"/>
              <w:bottom w:w="28" w:type="dxa"/>
            </w:tcMar>
            <w:vAlign w:val="center"/>
            <w:hideMark/>
          </w:tcPr>
          <w:p w14:paraId="2E67B6DC"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-126</w:t>
            </w:r>
          </w:p>
        </w:tc>
      </w:tr>
      <w:tr w:rsidR="00273D4D" w:rsidRPr="00EC0F5F" w14:paraId="780A4BA0" w14:textId="77777777" w:rsidTr="00FD7DE7">
        <w:trPr>
          <w:trHeight w:val="295"/>
        </w:trPr>
        <w:tc>
          <w:tcPr>
            <w:tcW w:w="1130" w:type="dxa"/>
            <w:shd w:val="clear" w:color="auto" w:fill="E1CCF0"/>
            <w:tcMar>
              <w:top w:w="28" w:type="dxa"/>
              <w:bottom w:w="28" w:type="dxa"/>
            </w:tcMar>
            <w:vAlign w:val="center"/>
            <w:hideMark/>
          </w:tcPr>
          <w:p w14:paraId="10DAB1F3"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2018/19</w:t>
            </w:r>
          </w:p>
        </w:tc>
        <w:tc>
          <w:tcPr>
            <w:tcW w:w="1414" w:type="dxa"/>
            <w:shd w:val="clear" w:color="auto" w:fill="E1CCF0"/>
            <w:tcMar>
              <w:top w:w="28" w:type="dxa"/>
              <w:bottom w:w="28" w:type="dxa"/>
            </w:tcMar>
            <w:vAlign w:val="center"/>
            <w:hideMark/>
          </w:tcPr>
          <w:p w14:paraId="30E96941"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1028</w:t>
            </w:r>
          </w:p>
        </w:tc>
        <w:tc>
          <w:tcPr>
            <w:tcW w:w="1270" w:type="dxa"/>
            <w:shd w:val="clear" w:color="auto" w:fill="E1CCF0"/>
            <w:tcMar>
              <w:top w:w="28" w:type="dxa"/>
              <w:bottom w:w="28" w:type="dxa"/>
            </w:tcMar>
            <w:vAlign w:val="center"/>
            <w:hideMark/>
          </w:tcPr>
          <w:p w14:paraId="0577C26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40</w:t>
            </w:r>
          </w:p>
        </w:tc>
        <w:tc>
          <w:tcPr>
            <w:tcW w:w="1604" w:type="dxa"/>
            <w:shd w:val="clear" w:color="auto" w:fill="E1CCF0"/>
            <w:tcMar>
              <w:top w:w="28" w:type="dxa"/>
              <w:bottom w:w="28" w:type="dxa"/>
            </w:tcMar>
            <w:vAlign w:val="center"/>
            <w:hideMark/>
          </w:tcPr>
          <w:p w14:paraId="5E689598"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hideMark/>
          </w:tcPr>
          <w:p w14:paraId="6D3FD550"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988</w:t>
            </w:r>
          </w:p>
        </w:tc>
        <w:tc>
          <w:tcPr>
            <w:tcW w:w="2835" w:type="dxa"/>
            <w:shd w:val="clear" w:color="auto" w:fill="E1CCF0"/>
            <w:tcMar>
              <w:top w:w="28" w:type="dxa"/>
              <w:bottom w:w="28" w:type="dxa"/>
            </w:tcMar>
            <w:vAlign w:val="center"/>
            <w:hideMark/>
          </w:tcPr>
          <w:p w14:paraId="44E749E2"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-146</w:t>
            </w:r>
          </w:p>
        </w:tc>
      </w:tr>
      <w:tr w:rsidR="00273D4D" w:rsidRPr="00EC0F5F" w14:paraId="75E276EA" w14:textId="77777777" w:rsidTr="00FD7DE7">
        <w:trPr>
          <w:trHeight w:val="295"/>
        </w:trPr>
        <w:tc>
          <w:tcPr>
            <w:tcW w:w="1130" w:type="dxa"/>
            <w:shd w:val="clear" w:color="auto" w:fill="E1CCF0"/>
            <w:tcMar>
              <w:top w:w="28" w:type="dxa"/>
              <w:bottom w:w="28" w:type="dxa"/>
            </w:tcMar>
            <w:vAlign w:val="center"/>
            <w:hideMark/>
          </w:tcPr>
          <w:p w14:paraId="3E0421E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2019/20</w:t>
            </w:r>
          </w:p>
        </w:tc>
        <w:tc>
          <w:tcPr>
            <w:tcW w:w="1414" w:type="dxa"/>
            <w:shd w:val="clear" w:color="auto" w:fill="E1CCF0"/>
            <w:tcMar>
              <w:top w:w="28" w:type="dxa"/>
              <w:bottom w:w="28" w:type="dxa"/>
            </w:tcMar>
            <w:vAlign w:val="center"/>
            <w:hideMark/>
          </w:tcPr>
          <w:p w14:paraId="3F9465D1"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1066</w:t>
            </w:r>
          </w:p>
        </w:tc>
        <w:tc>
          <w:tcPr>
            <w:tcW w:w="1270" w:type="dxa"/>
            <w:shd w:val="clear" w:color="auto" w:fill="E1CCF0"/>
            <w:tcMar>
              <w:top w:w="28" w:type="dxa"/>
              <w:bottom w:w="28" w:type="dxa"/>
            </w:tcMar>
            <w:vAlign w:val="center"/>
            <w:hideMark/>
          </w:tcPr>
          <w:p w14:paraId="3B12DBCB"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15</w:t>
            </w:r>
          </w:p>
        </w:tc>
        <w:tc>
          <w:tcPr>
            <w:tcW w:w="1604" w:type="dxa"/>
            <w:shd w:val="clear" w:color="auto" w:fill="E1CCF0"/>
            <w:tcMar>
              <w:top w:w="28" w:type="dxa"/>
              <w:bottom w:w="28" w:type="dxa"/>
            </w:tcMar>
            <w:vAlign w:val="center"/>
            <w:hideMark/>
          </w:tcPr>
          <w:p w14:paraId="5D86BE8E"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hideMark/>
          </w:tcPr>
          <w:p w14:paraId="15493630"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1051</w:t>
            </w:r>
          </w:p>
        </w:tc>
        <w:tc>
          <w:tcPr>
            <w:tcW w:w="2835" w:type="dxa"/>
            <w:shd w:val="clear" w:color="auto" w:fill="E1CCF0"/>
            <w:tcMar>
              <w:top w:w="28" w:type="dxa"/>
              <w:bottom w:w="28" w:type="dxa"/>
            </w:tcMar>
            <w:vAlign w:val="center"/>
          </w:tcPr>
          <w:p w14:paraId="34B098CB"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-83</w:t>
            </w:r>
          </w:p>
        </w:tc>
      </w:tr>
      <w:tr w:rsidR="00273D4D" w:rsidRPr="00EC0F5F" w14:paraId="597F535A" w14:textId="77777777" w:rsidTr="00FD7DE7">
        <w:trPr>
          <w:trHeight w:val="295"/>
        </w:trPr>
        <w:tc>
          <w:tcPr>
            <w:tcW w:w="1130" w:type="dxa"/>
            <w:shd w:val="clear" w:color="auto" w:fill="E1CCF0"/>
            <w:tcMar>
              <w:top w:w="28" w:type="dxa"/>
              <w:bottom w:w="28" w:type="dxa"/>
            </w:tcMar>
            <w:vAlign w:val="center"/>
          </w:tcPr>
          <w:p w14:paraId="0BF8E0A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2020/21</w:t>
            </w:r>
          </w:p>
        </w:tc>
        <w:tc>
          <w:tcPr>
            <w:tcW w:w="1414" w:type="dxa"/>
            <w:shd w:val="clear" w:color="auto" w:fill="E1CCF0"/>
            <w:tcMar>
              <w:top w:w="28" w:type="dxa"/>
              <w:bottom w:w="28" w:type="dxa"/>
            </w:tcMar>
            <w:vAlign w:val="center"/>
          </w:tcPr>
          <w:p w14:paraId="65D01574"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595</w:t>
            </w:r>
          </w:p>
        </w:tc>
        <w:tc>
          <w:tcPr>
            <w:tcW w:w="1270" w:type="dxa"/>
            <w:shd w:val="clear" w:color="auto" w:fill="E1CCF0"/>
            <w:tcMar>
              <w:top w:w="28" w:type="dxa"/>
              <w:bottom w:w="28" w:type="dxa"/>
            </w:tcMar>
            <w:vAlign w:val="center"/>
          </w:tcPr>
          <w:p w14:paraId="7AD3DD5A"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7</w:t>
            </w:r>
          </w:p>
        </w:tc>
        <w:tc>
          <w:tcPr>
            <w:tcW w:w="1604" w:type="dxa"/>
            <w:shd w:val="clear" w:color="auto" w:fill="E1CCF0"/>
            <w:tcMar>
              <w:top w:w="28" w:type="dxa"/>
              <w:bottom w:w="28" w:type="dxa"/>
            </w:tcMar>
            <w:vAlign w:val="center"/>
          </w:tcPr>
          <w:p w14:paraId="2CDFBA3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tcPr>
          <w:p w14:paraId="1DF76E7B"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588</w:t>
            </w:r>
          </w:p>
        </w:tc>
        <w:tc>
          <w:tcPr>
            <w:tcW w:w="2835" w:type="dxa"/>
            <w:shd w:val="clear" w:color="auto" w:fill="E1CCF0"/>
            <w:tcMar>
              <w:top w:w="28" w:type="dxa"/>
              <w:bottom w:w="28" w:type="dxa"/>
            </w:tcMar>
            <w:vAlign w:val="center"/>
          </w:tcPr>
          <w:p w14:paraId="38561563"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-546</w:t>
            </w:r>
          </w:p>
        </w:tc>
      </w:tr>
      <w:tr w:rsidR="00273D4D" w:rsidRPr="00EC0F5F" w14:paraId="586657B0" w14:textId="77777777" w:rsidTr="00FD7DE7">
        <w:trPr>
          <w:trHeight w:val="295"/>
        </w:trPr>
        <w:tc>
          <w:tcPr>
            <w:tcW w:w="1130" w:type="dxa"/>
            <w:shd w:val="clear" w:color="auto" w:fill="E1CCF0"/>
            <w:tcMar>
              <w:top w:w="28" w:type="dxa"/>
              <w:bottom w:w="28" w:type="dxa"/>
            </w:tcMar>
            <w:vAlign w:val="center"/>
          </w:tcPr>
          <w:p w14:paraId="04AD7C1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2021/22</w:t>
            </w:r>
          </w:p>
        </w:tc>
        <w:tc>
          <w:tcPr>
            <w:tcW w:w="1414" w:type="dxa"/>
            <w:shd w:val="clear" w:color="auto" w:fill="E1CCF0"/>
            <w:tcMar>
              <w:top w:w="28" w:type="dxa"/>
              <w:bottom w:w="28" w:type="dxa"/>
            </w:tcMar>
            <w:vAlign w:val="center"/>
          </w:tcPr>
          <w:p w14:paraId="0E7F24E7"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593</w:t>
            </w:r>
          </w:p>
        </w:tc>
        <w:tc>
          <w:tcPr>
            <w:tcW w:w="1270" w:type="dxa"/>
            <w:shd w:val="clear" w:color="auto" w:fill="E1CCF0"/>
            <w:tcMar>
              <w:top w:w="28" w:type="dxa"/>
              <w:bottom w:w="28" w:type="dxa"/>
            </w:tcMar>
            <w:vAlign w:val="center"/>
          </w:tcPr>
          <w:p w14:paraId="3EB76685"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4</w:t>
            </w:r>
          </w:p>
        </w:tc>
        <w:tc>
          <w:tcPr>
            <w:tcW w:w="1604" w:type="dxa"/>
            <w:shd w:val="clear" w:color="auto" w:fill="E1CCF0"/>
            <w:tcMar>
              <w:top w:w="28" w:type="dxa"/>
              <w:bottom w:w="28" w:type="dxa"/>
            </w:tcMar>
            <w:vAlign w:val="center"/>
          </w:tcPr>
          <w:p w14:paraId="1CE4C36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tcPr>
          <w:p w14:paraId="0F29EE8A"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589</w:t>
            </w:r>
          </w:p>
        </w:tc>
        <w:tc>
          <w:tcPr>
            <w:tcW w:w="2835" w:type="dxa"/>
            <w:shd w:val="clear" w:color="auto" w:fill="E1CCF0"/>
            <w:tcMar>
              <w:top w:w="28" w:type="dxa"/>
              <w:bottom w:w="28" w:type="dxa"/>
            </w:tcMar>
            <w:vAlign w:val="center"/>
          </w:tcPr>
          <w:p w14:paraId="56B0D19D"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-545</w:t>
            </w:r>
          </w:p>
        </w:tc>
      </w:tr>
      <w:tr w:rsidR="00273D4D" w:rsidRPr="00EC0F5F" w14:paraId="65622DB5" w14:textId="77777777" w:rsidTr="00FD7DE7">
        <w:trPr>
          <w:trHeight w:val="295"/>
        </w:trPr>
        <w:tc>
          <w:tcPr>
            <w:tcW w:w="1130" w:type="dxa"/>
            <w:shd w:val="clear" w:color="auto" w:fill="E1CCF0"/>
            <w:tcMar>
              <w:top w:w="28" w:type="dxa"/>
              <w:bottom w:w="28" w:type="dxa"/>
            </w:tcMar>
            <w:vAlign w:val="center"/>
          </w:tcPr>
          <w:p w14:paraId="693EEB1A"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2022/23</w:t>
            </w:r>
          </w:p>
        </w:tc>
        <w:tc>
          <w:tcPr>
            <w:tcW w:w="1414" w:type="dxa"/>
            <w:shd w:val="clear" w:color="auto" w:fill="E1CCF0"/>
            <w:tcMar>
              <w:top w:w="28" w:type="dxa"/>
              <w:bottom w:w="28" w:type="dxa"/>
            </w:tcMar>
            <w:vAlign w:val="center"/>
          </w:tcPr>
          <w:p w14:paraId="2DCE416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692</w:t>
            </w:r>
          </w:p>
        </w:tc>
        <w:tc>
          <w:tcPr>
            <w:tcW w:w="1270" w:type="dxa"/>
            <w:shd w:val="clear" w:color="auto" w:fill="E1CCF0"/>
            <w:tcMar>
              <w:top w:w="28" w:type="dxa"/>
              <w:bottom w:w="28" w:type="dxa"/>
            </w:tcMar>
            <w:vAlign w:val="center"/>
          </w:tcPr>
          <w:p w14:paraId="5CB0CB89"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w:t>
            </w:r>
          </w:p>
        </w:tc>
        <w:tc>
          <w:tcPr>
            <w:tcW w:w="1604" w:type="dxa"/>
            <w:shd w:val="clear" w:color="auto" w:fill="E1CCF0"/>
            <w:tcMar>
              <w:top w:w="28" w:type="dxa"/>
              <w:bottom w:w="28" w:type="dxa"/>
            </w:tcMar>
            <w:vAlign w:val="center"/>
          </w:tcPr>
          <w:p w14:paraId="057D37EA"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tcPr>
          <w:p w14:paraId="2FD6CA20"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681</w:t>
            </w:r>
          </w:p>
        </w:tc>
        <w:tc>
          <w:tcPr>
            <w:tcW w:w="2835" w:type="dxa"/>
            <w:shd w:val="clear" w:color="auto" w:fill="E1CCF0"/>
            <w:tcMar>
              <w:top w:w="28" w:type="dxa"/>
              <w:bottom w:w="28" w:type="dxa"/>
            </w:tcMar>
            <w:vAlign w:val="center"/>
          </w:tcPr>
          <w:p w14:paraId="5E14F75A"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-453</w:t>
            </w:r>
          </w:p>
        </w:tc>
      </w:tr>
      <w:tr w:rsidR="00273D4D" w:rsidRPr="00EC0F5F" w14:paraId="576F0DFB" w14:textId="77777777" w:rsidTr="00FD7DE7">
        <w:trPr>
          <w:trHeight w:val="295"/>
        </w:trPr>
        <w:tc>
          <w:tcPr>
            <w:tcW w:w="1130" w:type="dxa"/>
            <w:shd w:val="clear" w:color="auto" w:fill="E1CCF0"/>
            <w:tcMar>
              <w:top w:w="28" w:type="dxa"/>
              <w:bottom w:w="28" w:type="dxa"/>
            </w:tcMar>
            <w:vAlign w:val="center"/>
          </w:tcPr>
          <w:p w14:paraId="028055D2"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2023/24</w:t>
            </w:r>
          </w:p>
        </w:tc>
        <w:tc>
          <w:tcPr>
            <w:tcW w:w="1414" w:type="dxa"/>
            <w:shd w:val="clear" w:color="auto" w:fill="E1CCF0"/>
            <w:tcMar>
              <w:top w:w="28" w:type="dxa"/>
              <w:bottom w:w="28" w:type="dxa"/>
            </w:tcMar>
            <w:vAlign w:val="center"/>
          </w:tcPr>
          <w:p w14:paraId="1068FD55"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643</w:t>
            </w:r>
          </w:p>
        </w:tc>
        <w:tc>
          <w:tcPr>
            <w:tcW w:w="1270" w:type="dxa"/>
            <w:shd w:val="clear" w:color="auto" w:fill="E1CCF0"/>
            <w:tcMar>
              <w:top w:w="28" w:type="dxa"/>
              <w:bottom w:w="28" w:type="dxa"/>
            </w:tcMar>
            <w:vAlign w:val="center"/>
          </w:tcPr>
          <w:p w14:paraId="26CB6785"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7</w:t>
            </w:r>
          </w:p>
        </w:tc>
        <w:tc>
          <w:tcPr>
            <w:tcW w:w="1604" w:type="dxa"/>
            <w:shd w:val="clear" w:color="auto" w:fill="E1CCF0"/>
            <w:tcMar>
              <w:top w:w="28" w:type="dxa"/>
              <w:bottom w:w="28" w:type="dxa"/>
            </w:tcMar>
            <w:vAlign w:val="center"/>
          </w:tcPr>
          <w:p w14:paraId="644F284A"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tcPr>
          <w:p w14:paraId="4BC989F4"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636</w:t>
            </w:r>
          </w:p>
        </w:tc>
        <w:tc>
          <w:tcPr>
            <w:tcW w:w="2835" w:type="dxa"/>
            <w:shd w:val="clear" w:color="auto" w:fill="E1CCF0"/>
            <w:tcMar>
              <w:top w:w="28" w:type="dxa"/>
              <w:bottom w:w="28" w:type="dxa"/>
            </w:tcMar>
            <w:vAlign w:val="center"/>
          </w:tcPr>
          <w:p w14:paraId="0DBE4523"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-498</w:t>
            </w:r>
          </w:p>
        </w:tc>
      </w:tr>
      <w:tr w:rsidR="00273D4D" w:rsidRPr="00EC0F5F" w14:paraId="0E26B0C2" w14:textId="77777777" w:rsidTr="00FD7DE7">
        <w:tc>
          <w:tcPr>
            <w:tcW w:w="7087" w:type="dxa"/>
            <w:gridSpan w:val="5"/>
            <w:shd w:val="clear" w:color="auto" w:fill="E1CCF0"/>
            <w:tcMar>
              <w:top w:w="57" w:type="dxa"/>
              <w:bottom w:w="57" w:type="dxa"/>
            </w:tcMar>
          </w:tcPr>
          <w:p w14:paraId="5A782DD9" w14:textId="77777777" w:rsidR="00273D4D" w:rsidRPr="00EC0F5F" w:rsidRDefault="00273D4D" w:rsidP="00FD7DE7">
            <w:pPr>
              <w:pStyle w:val="Default"/>
              <w:spacing w:line="256" w:lineRule="auto"/>
              <w:jc w:val="right"/>
              <w:rPr>
                <w:b/>
                <w:color w:val="auto"/>
                <w:sz w:val="22"/>
                <w:szCs w:val="22"/>
                <w:lang w:val="en-GB"/>
              </w:rPr>
            </w:pPr>
            <w:r w:rsidRPr="00EC0F5F">
              <w:rPr>
                <w:b/>
                <w:color w:val="auto"/>
                <w:sz w:val="22"/>
                <w:szCs w:val="22"/>
                <w:lang w:val="en-GB"/>
              </w:rPr>
              <w:t>Total</w:t>
            </w:r>
          </w:p>
        </w:tc>
        <w:tc>
          <w:tcPr>
            <w:tcW w:w="2835" w:type="dxa"/>
            <w:shd w:val="clear" w:color="auto" w:fill="E1CCF0"/>
            <w:tcMar>
              <w:top w:w="57" w:type="dxa"/>
              <w:bottom w:w="57" w:type="dxa"/>
            </w:tcMar>
            <w:hideMark/>
          </w:tcPr>
          <w:p w14:paraId="4F83CB9A"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-3615</w:t>
            </w:r>
          </w:p>
        </w:tc>
      </w:tr>
    </w:tbl>
    <w:p w14:paraId="0D9A92BA" w14:textId="77777777" w:rsidR="005308CC" w:rsidRPr="00C629AB" w:rsidRDefault="005308CC" w:rsidP="00272B97">
      <w:pPr>
        <w:rPr>
          <w:rFonts w:ascii="Arial" w:hAnsi="Arial" w:cs="Arial"/>
          <w:sz w:val="24"/>
          <w:szCs w:val="24"/>
          <w:lang w:val="en-GB"/>
        </w:rPr>
      </w:pPr>
    </w:p>
    <w:p w14:paraId="09AEE4F0" w14:textId="04F1F173" w:rsidR="00095E17" w:rsidRPr="00C629AB" w:rsidRDefault="00095E17" w:rsidP="000C04F2">
      <w:pPr>
        <w:pStyle w:val="Proofpara"/>
        <w:rPr>
          <w:lang w:val="en-GB"/>
        </w:rPr>
      </w:pPr>
      <w:r w:rsidRPr="00C629AB">
        <w:rPr>
          <w:lang w:val="en-GB"/>
        </w:rPr>
        <w:t xml:space="preserve">Table 1 shows that there has been a shortfall of 3615 against the annual requirement since the start of the plan period.  This shortfall will be recovered over the plan period of the Local Plan, in line with the ‘Liverpool Methodology’. </w:t>
      </w:r>
      <w:r w:rsidR="00057D23" w:rsidRPr="00C629AB">
        <w:rPr>
          <w:lang w:val="en-GB"/>
        </w:rPr>
        <w:t xml:space="preserve"> </w:t>
      </w:r>
      <w:r w:rsidRPr="00C629AB">
        <w:rPr>
          <w:lang w:val="en-GB"/>
        </w:rPr>
        <w:lastRenderedPageBreak/>
        <w:t>The Liverpool method was determined appropriate by the Local Plan Inspector at paragraph 245 of the report of the examination.</w:t>
      </w:r>
    </w:p>
    <w:p w14:paraId="407A0448" w14:textId="77777777" w:rsidR="00E97667" w:rsidRPr="00C629AB" w:rsidRDefault="00952098" w:rsidP="000C04F2">
      <w:pPr>
        <w:pStyle w:val="Proofpara"/>
        <w:rPr>
          <w:lang w:val="en-GB"/>
        </w:rPr>
      </w:pPr>
      <w:r w:rsidRPr="00C629AB">
        <w:rPr>
          <w:lang w:val="en-GB"/>
        </w:rPr>
        <w:t xml:space="preserve">This equates to an additional 402 dwellings per annum being added to the remaining 9 years of the plan period. </w:t>
      </w:r>
      <w:r w:rsidR="00095E17" w:rsidRPr="00C629AB">
        <w:rPr>
          <w:lang w:val="en-GB"/>
        </w:rPr>
        <w:t>This shortfall therefore increases the net requirement for the period 2024/2025 to 2028/2029 by 2010 dwellings.</w:t>
      </w:r>
      <w:r w:rsidR="00F90E3B" w:rsidRPr="00C629AB">
        <w:rPr>
          <w:lang w:val="en-GB"/>
        </w:rPr>
        <w:t xml:space="preserve">  </w:t>
      </w:r>
    </w:p>
    <w:p w14:paraId="0D3DC36E" w14:textId="55375FC9" w:rsidR="00C41357" w:rsidRPr="000C04F2" w:rsidRDefault="00D71422" w:rsidP="00E24734">
      <w:pPr>
        <w:pStyle w:val="Proofpara"/>
        <w:numPr>
          <w:ilvl w:val="0"/>
          <w:numId w:val="0"/>
        </w:numPr>
        <w:ind w:left="720"/>
        <w:rPr>
          <w:b/>
          <w:bCs/>
          <w:lang w:val="en-GB"/>
        </w:rPr>
      </w:pPr>
      <w:r w:rsidRPr="00C629AB">
        <w:rPr>
          <w:b/>
          <w:bCs/>
          <w:lang w:val="en-GB"/>
        </w:rPr>
        <w:t>Housing Delivery Test Measurement (Buffer)</w:t>
      </w:r>
    </w:p>
    <w:p w14:paraId="27AB387C" w14:textId="59BBC08E" w:rsidR="00E97667" w:rsidRPr="000C04F2" w:rsidRDefault="00C41357" w:rsidP="000C04F2">
      <w:pPr>
        <w:pStyle w:val="Proofpara"/>
      </w:pPr>
      <w:r w:rsidRPr="00C629AB">
        <w:rPr>
          <w:lang w:val="en-GB"/>
        </w:rPr>
        <w:t>Performance against housing delivery test targets dictates the buffer that should be added to the housing requirement, with a 20% buffer required if delivery falls to 85% or below.</w:t>
      </w:r>
      <w:r w:rsidR="005626D5" w:rsidRPr="00C629AB">
        <w:rPr>
          <w:lang w:val="en-GB"/>
        </w:rPr>
        <w:t xml:space="preserve">  </w:t>
      </w:r>
      <w:r w:rsidR="005626D5" w:rsidRPr="00C629AB">
        <w:t xml:space="preserve">With </w:t>
      </w:r>
      <w:r w:rsidR="00A9412C" w:rsidRPr="00C629AB">
        <w:t xml:space="preserve">Barnsley’s </w:t>
      </w:r>
      <w:r w:rsidR="005626D5" w:rsidRPr="00C629AB">
        <w:t>performance for the last published measurement year (2023) at 84%, the targets have been missed for the first time.  On this basis, an additional 20% buffer should be added to the five year housing land supply.</w:t>
      </w:r>
      <w:r w:rsidR="00A9412C" w:rsidRPr="00C629AB">
        <w:t xml:space="preserve">  This equates to an </w:t>
      </w:r>
      <w:r w:rsidR="00A9412C" w:rsidRPr="00EC0F5F">
        <w:t>additional 1535 dwellings</w:t>
      </w:r>
      <w:r w:rsidR="008F6C0B" w:rsidRPr="00C629AB">
        <w:t xml:space="preserve"> to be added to the five year housing requirement.</w:t>
      </w:r>
    </w:p>
    <w:p w14:paraId="05620617" w14:textId="42086C54" w:rsidR="00F505D6" w:rsidRPr="000C04F2" w:rsidRDefault="00F505D6" w:rsidP="00E24734">
      <w:pPr>
        <w:pStyle w:val="Proofpara"/>
        <w:numPr>
          <w:ilvl w:val="0"/>
          <w:numId w:val="0"/>
        </w:numPr>
        <w:ind w:left="720"/>
        <w:rPr>
          <w:b/>
          <w:bCs/>
          <w:lang w:val="en-GB"/>
        </w:rPr>
      </w:pPr>
      <w:r w:rsidRPr="00C629AB">
        <w:rPr>
          <w:b/>
          <w:bCs/>
          <w:lang w:val="en-GB"/>
        </w:rPr>
        <w:t>Overall Housing Requirement calculation</w:t>
      </w:r>
    </w:p>
    <w:p w14:paraId="62F42DE6" w14:textId="6DA8C128" w:rsidR="00F90E3B" w:rsidRPr="000C04F2" w:rsidRDefault="00F90E3B" w:rsidP="000C04F2">
      <w:pPr>
        <w:pStyle w:val="Proofpara"/>
        <w:rPr>
          <w:lang w:val="en-GB"/>
        </w:rPr>
      </w:pPr>
      <w:r w:rsidRPr="00C629AB">
        <w:rPr>
          <w:lang w:val="en-GB"/>
        </w:rPr>
        <w:t xml:space="preserve">Table 2 below illustrates the </w:t>
      </w:r>
      <w:r w:rsidR="00F505D6" w:rsidRPr="00C629AB">
        <w:rPr>
          <w:lang w:val="en-GB"/>
        </w:rPr>
        <w:t xml:space="preserve">housing requirement </w:t>
      </w:r>
      <w:r w:rsidRPr="00C629AB">
        <w:rPr>
          <w:lang w:val="en-GB"/>
        </w:rPr>
        <w:t>calculation</w:t>
      </w:r>
      <w:r w:rsidR="00E87C9B" w:rsidRPr="00C629AB">
        <w:rPr>
          <w:lang w:val="en-GB"/>
        </w:rPr>
        <w:t>.</w:t>
      </w:r>
    </w:p>
    <w:p w14:paraId="32147C02" w14:textId="7ACA9233" w:rsidR="00F90E3B" w:rsidRPr="00C629AB" w:rsidRDefault="00F90E3B" w:rsidP="00F90E3B">
      <w:pPr>
        <w:pStyle w:val="Default"/>
        <w:spacing w:after="160"/>
        <w:ind w:left="-357" w:firstLine="357"/>
        <w:rPr>
          <w:b/>
          <w:bCs/>
          <w:color w:val="auto"/>
        </w:rPr>
      </w:pPr>
      <w:bookmarkStart w:id="0" w:name="_Hlk37058544"/>
      <w:r w:rsidRPr="00C629AB">
        <w:rPr>
          <w:b/>
          <w:bCs/>
          <w:color w:val="auto"/>
          <w:lang w:val="en-GB"/>
        </w:rPr>
        <w:t xml:space="preserve">Table 2: Housing Requirement 2024/25 to 2028/29 </w:t>
      </w:r>
      <w:bookmarkEnd w:id="0"/>
      <w:r w:rsidRPr="00C629AB">
        <w:rPr>
          <w:b/>
          <w:bCs/>
          <w:color w:val="auto"/>
          <w:lang w:val="en-GB"/>
        </w:rPr>
        <w:t xml:space="preserve">- </w:t>
      </w:r>
      <w:r w:rsidRPr="00C629AB">
        <w:rPr>
          <w:b/>
          <w:bCs/>
          <w:color w:val="auto"/>
        </w:rPr>
        <w:t>Liverpool method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3: Housing Requirement 2021/22 to 2025/26 - Liverpool method 5% buffer"/>
      </w:tblPr>
      <w:tblGrid>
        <w:gridCol w:w="1186"/>
        <w:gridCol w:w="2008"/>
        <w:gridCol w:w="2191"/>
        <w:gridCol w:w="1666"/>
        <w:gridCol w:w="1878"/>
      </w:tblGrid>
      <w:tr w:rsidR="00F90E3B" w:rsidRPr="00EC0F5F" w14:paraId="7F5D3F53"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hideMark/>
          </w:tcPr>
          <w:p w14:paraId="56E61677" w14:textId="77777777" w:rsidR="00F90E3B" w:rsidRPr="00EC0F5F" w:rsidRDefault="00F90E3B" w:rsidP="00FD7DE7">
            <w:pPr>
              <w:rPr>
                <w:rFonts w:ascii="Arial" w:hAnsi="Arial" w:cs="Arial"/>
                <w:b/>
                <w:bCs/>
              </w:rPr>
            </w:pPr>
            <w:r w:rsidRPr="00EC0F5F">
              <w:rPr>
                <w:rFonts w:ascii="Arial" w:hAnsi="Arial" w:cs="Arial"/>
                <w:b/>
                <w:bCs/>
              </w:rPr>
              <w:t>Year</w:t>
            </w:r>
          </w:p>
        </w:tc>
        <w:tc>
          <w:tcPr>
            <w:tcW w:w="2236" w:type="dxa"/>
            <w:tcBorders>
              <w:top w:val="single" w:sz="4" w:space="0" w:color="auto"/>
              <w:left w:val="single" w:sz="4" w:space="0" w:color="auto"/>
              <w:bottom w:val="single" w:sz="4" w:space="0" w:color="auto"/>
              <w:right w:val="single" w:sz="4" w:space="0" w:color="auto"/>
            </w:tcBorders>
            <w:shd w:val="clear" w:color="auto" w:fill="E1CCF0"/>
            <w:hideMark/>
          </w:tcPr>
          <w:p w14:paraId="53F8C6D8" w14:textId="77777777" w:rsidR="00F90E3B" w:rsidRPr="00EC0F5F" w:rsidRDefault="00F90E3B" w:rsidP="00FD7DE7">
            <w:pPr>
              <w:rPr>
                <w:rFonts w:ascii="Arial" w:hAnsi="Arial" w:cs="Arial"/>
                <w:b/>
                <w:bCs/>
              </w:rPr>
            </w:pPr>
            <w:r w:rsidRPr="00EC0F5F">
              <w:rPr>
                <w:rFonts w:ascii="Arial" w:hAnsi="Arial" w:cs="Arial"/>
                <w:b/>
                <w:bCs/>
              </w:rPr>
              <w:t>Net requirement</w:t>
            </w:r>
          </w:p>
        </w:tc>
        <w:tc>
          <w:tcPr>
            <w:tcW w:w="2500" w:type="dxa"/>
            <w:tcBorders>
              <w:top w:val="single" w:sz="4" w:space="0" w:color="auto"/>
              <w:left w:val="single" w:sz="4" w:space="0" w:color="auto"/>
              <w:bottom w:val="single" w:sz="4" w:space="0" w:color="auto"/>
              <w:right w:val="single" w:sz="4" w:space="0" w:color="auto"/>
            </w:tcBorders>
            <w:shd w:val="clear" w:color="auto" w:fill="E1CCF0"/>
            <w:hideMark/>
          </w:tcPr>
          <w:p w14:paraId="09F130BA" w14:textId="77777777" w:rsidR="00F90E3B" w:rsidRPr="00EC0F5F" w:rsidRDefault="00F90E3B" w:rsidP="00FD7DE7">
            <w:pPr>
              <w:rPr>
                <w:rFonts w:ascii="Arial" w:hAnsi="Arial" w:cs="Arial"/>
                <w:b/>
                <w:bCs/>
              </w:rPr>
            </w:pPr>
            <w:r w:rsidRPr="00EC0F5F">
              <w:rPr>
                <w:rFonts w:ascii="Arial" w:hAnsi="Arial" w:cs="Arial"/>
                <w:b/>
                <w:bCs/>
              </w:rPr>
              <w:t>Adjusted net requirement (Backlog 14/15 – 23/24)*</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04E70466" w14:textId="77777777" w:rsidR="00F90E3B" w:rsidRPr="00EC0F5F" w:rsidRDefault="00F90E3B" w:rsidP="00FD7DE7">
            <w:pPr>
              <w:rPr>
                <w:rFonts w:ascii="Arial" w:hAnsi="Arial" w:cs="Arial"/>
                <w:b/>
                <w:bCs/>
              </w:rPr>
            </w:pPr>
            <w:r w:rsidRPr="00EC0F5F">
              <w:rPr>
                <w:rFonts w:ascii="Arial" w:hAnsi="Arial" w:cs="Arial"/>
                <w:b/>
                <w:bCs/>
              </w:rPr>
              <w:t>20% NPPF Buffer</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2DA072B4" w14:textId="77777777" w:rsidR="00F90E3B" w:rsidRPr="00EC0F5F" w:rsidRDefault="00F90E3B" w:rsidP="00FD7DE7">
            <w:pPr>
              <w:rPr>
                <w:rFonts w:ascii="Arial" w:hAnsi="Arial" w:cs="Arial"/>
                <w:b/>
                <w:bCs/>
              </w:rPr>
            </w:pPr>
            <w:r w:rsidRPr="00EC0F5F">
              <w:rPr>
                <w:rFonts w:ascii="Arial" w:hAnsi="Arial" w:cs="Arial"/>
                <w:b/>
                <w:bCs/>
              </w:rPr>
              <w:t>Actual Net Requirement</w:t>
            </w:r>
          </w:p>
        </w:tc>
      </w:tr>
      <w:tr w:rsidR="00F90E3B" w:rsidRPr="00EC0F5F" w14:paraId="34DBA613"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37534E7C" w14:textId="77777777" w:rsidR="00F90E3B" w:rsidRPr="00EC0F5F" w:rsidRDefault="00F90E3B" w:rsidP="00FD7DE7">
            <w:pPr>
              <w:rPr>
                <w:rFonts w:ascii="Arial" w:hAnsi="Arial" w:cs="Arial"/>
              </w:rPr>
            </w:pPr>
            <w:r w:rsidRPr="00EC0F5F">
              <w:rPr>
                <w:rFonts w:ascii="Arial" w:hAnsi="Arial" w:cs="Arial"/>
              </w:rPr>
              <w:t>2024/25</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11F6C44A"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42D50B2C"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021A6AFC"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4A86EA69"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3C8CF92C"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697EEEE8" w14:textId="77777777" w:rsidR="00F90E3B" w:rsidRPr="00EC0F5F" w:rsidRDefault="00F90E3B" w:rsidP="00FD7DE7">
            <w:pPr>
              <w:rPr>
                <w:rFonts w:ascii="Arial" w:hAnsi="Arial" w:cs="Arial"/>
              </w:rPr>
            </w:pPr>
            <w:r w:rsidRPr="00EC0F5F">
              <w:rPr>
                <w:rFonts w:ascii="Arial" w:hAnsi="Arial" w:cs="Arial"/>
              </w:rPr>
              <w:t>2025/26</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45A0297A"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2C63F614"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11E41F0E"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778821FE"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1DF70F4E"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073FD60B" w14:textId="77777777" w:rsidR="00F90E3B" w:rsidRPr="00EC0F5F" w:rsidRDefault="00F90E3B" w:rsidP="00FD7DE7">
            <w:pPr>
              <w:rPr>
                <w:rFonts w:ascii="Arial" w:hAnsi="Arial" w:cs="Arial"/>
              </w:rPr>
            </w:pPr>
            <w:r w:rsidRPr="00EC0F5F">
              <w:rPr>
                <w:rFonts w:ascii="Arial" w:hAnsi="Arial" w:cs="Arial"/>
              </w:rPr>
              <w:t>2026/27</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37031B4B"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0D3AE809"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27E4684E"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0082334F"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13B234FD"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2A12E041" w14:textId="77777777" w:rsidR="00F90E3B" w:rsidRPr="00EC0F5F" w:rsidRDefault="00F90E3B" w:rsidP="00FD7DE7">
            <w:pPr>
              <w:rPr>
                <w:rFonts w:ascii="Arial" w:hAnsi="Arial" w:cs="Arial"/>
              </w:rPr>
            </w:pPr>
            <w:r w:rsidRPr="00EC0F5F">
              <w:rPr>
                <w:rFonts w:ascii="Arial" w:hAnsi="Arial" w:cs="Arial"/>
              </w:rPr>
              <w:t>2027/28</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3131F671"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64C8208E"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6C95E56D"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4D8F7617"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5A27DD5E"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36A77F37" w14:textId="77777777" w:rsidR="00F90E3B" w:rsidRPr="00EC0F5F" w:rsidRDefault="00F90E3B" w:rsidP="00FD7DE7">
            <w:pPr>
              <w:rPr>
                <w:rFonts w:ascii="Arial" w:hAnsi="Arial" w:cs="Arial"/>
              </w:rPr>
            </w:pPr>
            <w:r w:rsidRPr="00EC0F5F">
              <w:rPr>
                <w:rFonts w:ascii="Arial" w:hAnsi="Arial" w:cs="Arial"/>
              </w:rPr>
              <w:t>2028/29</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52C82863"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63C23BC6"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2D7C04A8"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09CB5FD3"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3FF13975"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hideMark/>
          </w:tcPr>
          <w:p w14:paraId="4664566F" w14:textId="77777777" w:rsidR="00F90E3B" w:rsidRPr="00EC0F5F" w:rsidRDefault="00F90E3B" w:rsidP="00FD7DE7">
            <w:pPr>
              <w:rPr>
                <w:rFonts w:ascii="Arial" w:hAnsi="Arial" w:cs="Arial"/>
                <w:b/>
                <w:bCs/>
              </w:rPr>
            </w:pPr>
            <w:r w:rsidRPr="00EC0F5F">
              <w:rPr>
                <w:rFonts w:ascii="Arial" w:hAnsi="Arial" w:cs="Arial"/>
                <w:b/>
                <w:bCs/>
              </w:rPr>
              <w:t>Total</w:t>
            </w:r>
          </w:p>
        </w:tc>
        <w:tc>
          <w:tcPr>
            <w:tcW w:w="2236" w:type="dxa"/>
            <w:tcBorders>
              <w:top w:val="single" w:sz="4" w:space="0" w:color="auto"/>
              <w:left w:val="single" w:sz="4" w:space="0" w:color="auto"/>
              <w:bottom w:val="single" w:sz="4" w:space="0" w:color="auto"/>
              <w:right w:val="single" w:sz="4" w:space="0" w:color="auto"/>
            </w:tcBorders>
            <w:shd w:val="clear" w:color="auto" w:fill="E1CCF0"/>
            <w:hideMark/>
          </w:tcPr>
          <w:p w14:paraId="1254C0C3" w14:textId="77777777" w:rsidR="00F90E3B" w:rsidRPr="00EC0F5F" w:rsidRDefault="00F90E3B" w:rsidP="00FD7DE7">
            <w:pPr>
              <w:jc w:val="center"/>
              <w:rPr>
                <w:rFonts w:ascii="Arial" w:hAnsi="Arial" w:cs="Arial"/>
                <w:b/>
                <w:bCs/>
              </w:rPr>
            </w:pPr>
            <w:r w:rsidRPr="00EC0F5F">
              <w:rPr>
                <w:rFonts w:ascii="Arial" w:hAnsi="Arial" w:cs="Arial"/>
                <w:b/>
                <w:bCs/>
              </w:rPr>
              <w:t>5670</w:t>
            </w:r>
          </w:p>
        </w:tc>
        <w:tc>
          <w:tcPr>
            <w:tcW w:w="2500" w:type="dxa"/>
            <w:tcBorders>
              <w:top w:val="single" w:sz="4" w:space="0" w:color="auto"/>
              <w:left w:val="single" w:sz="4" w:space="0" w:color="auto"/>
              <w:bottom w:val="single" w:sz="4" w:space="0" w:color="auto"/>
              <w:right w:val="single" w:sz="4" w:space="0" w:color="auto"/>
            </w:tcBorders>
            <w:shd w:val="clear" w:color="auto" w:fill="E1CCF0"/>
            <w:hideMark/>
          </w:tcPr>
          <w:p w14:paraId="5873A38C" w14:textId="77777777" w:rsidR="00F90E3B" w:rsidRPr="00EC0F5F" w:rsidRDefault="00F90E3B" w:rsidP="00FD7DE7">
            <w:pPr>
              <w:jc w:val="center"/>
              <w:rPr>
                <w:rFonts w:ascii="Arial" w:hAnsi="Arial" w:cs="Arial"/>
                <w:b/>
                <w:bCs/>
              </w:rPr>
            </w:pPr>
            <w:r w:rsidRPr="00EC0F5F">
              <w:rPr>
                <w:rFonts w:ascii="Arial" w:hAnsi="Arial" w:cs="Arial"/>
                <w:b/>
                <w:bCs/>
              </w:rPr>
              <w:t>7680</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6756203A" w14:textId="77777777" w:rsidR="00F90E3B" w:rsidRPr="00EC0F5F" w:rsidRDefault="00F90E3B" w:rsidP="00FD7DE7">
            <w:pPr>
              <w:jc w:val="center"/>
              <w:rPr>
                <w:rFonts w:ascii="Arial" w:hAnsi="Arial" w:cs="Arial"/>
                <w:b/>
                <w:bCs/>
              </w:rPr>
            </w:pPr>
            <w:r w:rsidRPr="00EC0F5F">
              <w:rPr>
                <w:rFonts w:ascii="Arial" w:hAnsi="Arial" w:cs="Arial"/>
                <w:b/>
                <w:bCs/>
              </w:rPr>
              <w:t>1535</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6E1F4043" w14:textId="77777777" w:rsidR="00F90E3B" w:rsidRPr="00EC0F5F" w:rsidRDefault="00F90E3B" w:rsidP="00FD7DE7">
            <w:pPr>
              <w:jc w:val="center"/>
              <w:rPr>
                <w:rFonts w:ascii="Arial" w:hAnsi="Arial" w:cs="Arial"/>
                <w:b/>
                <w:bCs/>
              </w:rPr>
            </w:pPr>
            <w:r w:rsidRPr="00EC0F5F">
              <w:rPr>
                <w:rFonts w:ascii="Arial" w:hAnsi="Arial" w:cs="Arial"/>
                <w:b/>
                <w:bCs/>
              </w:rPr>
              <w:t>9215</w:t>
            </w:r>
          </w:p>
        </w:tc>
      </w:tr>
    </w:tbl>
    <w:p w14:paraId="243625BB" w14:textId="77777777" w:rsidR="00F90E3B" w:rsidRPr="00C629AB" w:rsidRDefault="00F90E3B" w:rsidP="00F90E3B">
      <w:pPr>
        <w:spacing w:after="60" w:line="240" w:lineRule="auto"/>
        <w:rPr>
          <w:rFonts w:ascii="Arial" w:hAnsi="Arial" w:cs="Arial"/>
          <w:i/>
          <w:iCs/>
          <w:sz w:val="24"/>
          <w:szCs w:val="24"/>
        </w:rPr>
      </w:pPr>
      <w:r w:rsidRPr="00C629AB">
        <w:rPr>
          <w:rFonts w:ascii="Arial" w:hAnsi="Arial" w:cs="Arial"/>
          <w:i/>
          <w:iCs/>
          <w:sz w:val="24"/>
          <w:szCs w:val="24"/>
        </w:rPr>
        <w:t xml:space="preserve">       *</w:t>
      </w:r>
      <w:r w:rsidRPr="00EC0F5F">
        <w:rPr>
          <w:rFonts w:ascii="Arial" w:hAnsi="Arial" w:cs="Arial"/>
          <w:i/>
          <w:iCs/>
          <w:sz w:val="20"/>
          <w:szCs w:val="20"/>
        </w:rPr>
        <w:t>calculated as 3615 divided by 9 (remaining years in plan period) = 402dpa</w:t>
      </w:r>
    </w:p>
    <w:p w14:paraId="1083F9D8" w14:textId="77777777" w:rsidR="00F90E3B" w:rsidRPr="00C629AB" w:rsidRDefault="00F90E3B" w:rsidP="00F90E3B">
      <w:pPr>
        <w:pStyle w:val="Default"/>
        <w:rPr>
          <w:color w:val="auto"/>
          <w:lang w:val="en-GB"/>
        </w:rPr>
      </w:pPr>
    </w:p>
    <w:p w14:paraId="3F915B75" w14:textId="77777777" w:rsidR="00E24734" w:rsidRDefault="00E24734">
      <w:pPr>
        <w:rPr>
          <w:rFonts w:ascii="Arial" w:hAnsi="Arial" w:cs="Arial"/>
          <w:b/>
          <w:bCs/>
          <w:sz w:val="24"/>
          <w:szCs w:val="24"/>
          <w:lang w:val="en-GB"/>
        </w:rPr>
      </w:pPr>
      <w:r>
        <w:rPr>
          <w:rFonts w:ascii="Arial" w:hAnsi="Arial" w:cs="Arial"/>
          <w:b/>
          <w:bCs/>
          <w:sz w:val="24"/>
          <w:szCs w:val="24"/>
          <w:lang w:val="en-GB"/>
        </w:rPr>
        <w:br w:type="page"/>
      </w:r>
    </w:p>
    <w:p w14:paraId="2D2D8F0C" w14:textId="6B949E7F" w:rsidR="00AA1B00" w:rsidRPr="00E24734" w:rsidRDefault="00BF2F49" w:rsidP="00344D18">
      <w:pPr>
        <w:pStyle w:val="Proofheading"/>
        <w:numPr>
          <w:ilvl w:val="0"/>
          <w:numId w:val="0"/>
        </w:numPr>
        <w:ind w:left="357" w:hanging="357"/>
        <w:rPr>
          <w:lang w:val="en-GB"/>
        </w:rPr>
      </w:pPr>
      <w:r w:rsidRPr="00E24734">
        <w:rPr>
          <w:lang w:val="en-GB"/>
        </w:rPr>
        <w:t>Deliverable Housing Supply</w:t>
      </w:r>
    </w:p>
    <w:p w14:paraId="7DB4A506" w14:textId="3503FE7F" w:rsidR="00BF2F49" w:rsidRPr="00C629AB" w:rsidRDefault="00BF2F49" w:rsidP="00E24734">
      <w:pPr>
        <w:pStyle w:val="Proofpara"/>
        <w:rPr>
          <w:lang w:val="en-GB"/>
        </w:rPr>
      </w:pPr>
      <w:r w:rsidRPr="00C629AB">
        <w:rPr>
          <w:lang w:val="en-GB"/>
        </w:rPr>
        <w:t>The Council has estimated that it has a five year deliverable net supply of 5</w:t>
      </w:r>
      <w:r w:rsidR="00573DEC" w:rsidRPr="00C629AB">
        <w:rPr>
          <w:lang w:val="en-GB"/>
        </w:rPr>
        <w:t>708 dwellings</w:t>
      </w:r>
      <w:r w:rsidR="00D304FB" w:rsidRPr="00C629AB">
        <w:rPr>
          <w:lang w:val="en-GB"/>
        </w:rPr>
        <w:t xml:space="preserve"> for the period </w:t>
      </w:r>
      <w:r w:rsidR="00E71680" w:rsidRPr="00C629AB">
        <w:rPr>
          <w:lang w:val="en-GB"/>
        </w:rPr>
        <w:t>2024/25 to 2028/29, summarised in table 3 below.</w:t>
      </w:r>
    </w:p>
    <w:p w14:paraId="289107B1" w14:textId="7FFDA217" w:rsidR="00175738" w:rsidRPr="00C629AB" w:rsidRDefault="00175738" w:rsidP="00175738">
      <w:pPr>
        <w:rPr>
          <w:rFonts w:ascii="Arial" w:hAnsi="Arial" w:cs="Arial"/>
          <w:sz w:val="24"/>
          <w:szCs w:val="24"/>
          <w:lang w:val="en-GB"/>
        </w:rPr>
      </w:pPr>
      <w:r w:rsidRPr="00C629AB">
        <w:rPr>
          <w:rFonts w:ascii="Arial" w:hAnsi="Arial" w:cs="Arial"/>
          <w:b/>
          <w:bCs/>
          <w:sz w:val="24"/>
          <w:szCs w:val="24"/>
          <w:lang w:val="en-GB"/>
        </w:rPr>
        <w:t>Table 3: Barnsley Five Year Supply Summary (2024/25 to 2028/29)</w:t>
      </w:r>
      <w:r w:rsidRPr="00C629AB">
        <w:rPr>
          <w:rFonts w:ascii="Arial" w:hAnsi="Arial" w:cs="Arial"/>
          <w:sz w:val="24"/>
          <w:szCs w:val="24"/>
          <w:lang w:val="en-GB"/>
        </w:rPr>
        <w:t> </w:t>
      </w:r>
    </w:p>
    <w:tbl>
      <w:tblPr>
        <w:tblW w:w="9344" w:type="dxa"/>
        <w:tblBorders>
          <w:top w:val="outset" w:sz="6" w:space="0" w:color="auto"/>
          <w:left w:val="outset" w:sz="6" w:space="0" w:color="auto"/>
          <w:bottom w:val="outset" w:sz="6" w:space="0" w:color="auto"/>
          <w:right w:val="outset" w:sz="6" w:space="0" w:color="auto"/>
        </w:tblBorders>
        <w:shd w:val="clear" w:color="auto" w:fill="E1CCF0"/>
        <w:tblCellMar>
          <w:left w:w="0" w:type="dxa"/>
          <w:right w:w="0" w:type="dxa"/>
        </w:tblCellMar>
        <w:tblLook w:val="04A0" w:firstRow="1" w:lastRow="0" w:firstColumn="1" w:lastColumn="0" w:noHBand="0" w:noVBand="1"/>
        <w:tblCaption w:val="Table 7: Barnsley Five Year Supply Summary (2021/22 to 2025/26)"/>
      </w:tblPr>
      <w:tblGrid>
        <w:gridCol w:w="6949"/>
        <w:gridCol w:w="2395"/>
      </w:tblGrid>
      <w:tr w:rsidR="00175738" w:rsidRPr="00EC0F5F" w14:paraId="74C95FD6" w14:textId="77777777" w:rsidTr="001158AE">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E1CCF0"/>
            <w:vAlign w:val="bottom"/>
            <w:hideMark/>
          </w:tcPr>
          <w:p w14:paraId="5EE0E54B" w14:textId="77777777" w:rsidR="00175738" w:rsidRPr="00EC0F5F" w:rsidRDefault="00175738" w:rsidP="00FD7DE7">
            <w:pPr>
              <w:rPr>
                <w:rFonts w:ascii="Arial" w:hAnsi="Arial" w:cs="Arial"/>
                <w:lang w:val="en-GB"/>
              </w:rPr>
            </w:pPr>
            <w:r w:rsidRPr="00EC0F5F">
              <w:rPr>
                <w:rFonts w:ascii="Arial" w:hAnsi="Arial" w:cs="Arial"/>
                <w:b/>
                <w:bCs/>
                <w:lang w:val="en-GB"/>
              </w:rPr>
              <w:t>Five Year Supply Summary</w:t>
            </w:r>
            <w:r w:rsidRPr="00EC0F5F">
              <w:rPr>
                <w:rFonts w:ascii="Arial" w:hAnsi="Arial" w:cs="Arial"/>
                <w:lang w:val="en-GB"/>
              </w:rPr>
              <w:t> </w:t>
            </w:r>
          </w:p>
        </w:tc>
      </w:tr>
      <w:tr w:rsidR="00175738" w:rsidRPr="00EC0F5F" w14:paraId="66110440"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6C6E7CAA" w14:textId="77777777" w:rsidR="00175738" w:rsidRPr="00EC0F5F" w:rsidRDefault="00175738" w:rsidP="00FD7DE7">
            <w:pPr>
              <w:rPr>
                <w:rFonts w:ascii="Arial" w:hAnsi="Arial" w:cs="Arial"/>
                <w:lang w:val="en-GB"/>
              </w:rPr>
            </w:pPr>
            <w:r w:rsidRPr="00EC0F5F">
              <w:rPr>
                <w:rFonts w:ascii="Arial" w:hAnsi="Arial" w:cs="Arial"/>
                <w:b/>
                <w:bCs/>
                <w:lang w:val="en-GB"/>
              </w:rPr>
              <w:t>Category</w:t>
            </w:r>
            <w:r w:rsidRPr="00EC0F5F">
              <w:rPr>
                <w:rFonts w:ascii="Arial" w:hAnsi="Arial" w:cs="Arial"/>
                <w:lang w:val="en-GB"/>
              </w:rPr>
              <w:t> </w:t>
            </w:r>
          </w:p>
        </w:tc>
        <w:tc>
          <w:tcPr>
            <w:tcW w:w="2395" w:type="dxa"/>
            <w:tcBorders>
              <w:top w:val="single" w:sz="6" w:space="0" w:color="auto"/>
              <w:left w:val="single" w:sz="6" w:space="0" w:color="auto"/>
              <w:bottom w:val="single" w:sz="6" w:space="0" w:color="auto"/>
              <w:right w:val="single" w:sz="6" w:space="0" w:color="auto"/>
            </w:tcBorders>
            <w:shd w:val="clear" w:color="auto" w:fill="E1CCF0"/>
            <w:vAlign w:val="bottom"/>
            <w:hideMark/>
          </w:tcPr>
          <w:p w14:paraId="65B1838F" w14:textId="77777777" w:rsidR="00175738" w:rsidRPr="00EC0F5F" w:rsidRDefault="00175738" w:rsidP="00FD7DE7">
            <w:pPr>
              <w:rPr>
                <w:rFonts w:ascii="Arial" w:hAnsi="Arial" w:cs="Arial"/>
                <w:lang w:val="en-GB"/>
              </w:rPr>
            </w:pPr>
            <w:r w:rsidRPr="00EC0F5F">
              <w:rPr>
                <w:rFonts w:ascii="Arial" w:hAnsi="Arial" w:cs="Arial"/>
                <w:b/>
                <w:bCs/>
                <w:lang w:val="en-GB"/>
              </w:rPr>
              <w:t>Deliverable Dwellings</w:t>
            </w:r>
            <w:r w:rsidRPr="00EC0F5F">
              <w:rPr>
                <w:rFonts w:ascii="Arial" w:hAnsi="Arial" w:cs="Arial"/>
                <w:lang w:val="en-GB"/>
              </w:rPr>
              <w:t> </w:t>
            </w:r>
          </w:p>
        </w:tc>
      </w:tr>
      <w:tr w:rsidR="00175738" w:rsidRPr="00EC0F5F" w14:paraId="0C1A0AEF"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35DCFC65" w14:textId="77777777" w:rsidR="00175738" w:rsidRPr="00EC0F5F" w:rsidRDefault="00175738" w:rsidP="00FD7DE7">
            <w:pPr>
              <w:rPr>
                <w:rFonts w:ascii="Arial" w:hAnsi="Arial" w:cs="Arial"/>
                <w:lang w:val="en-GB"/>
              </w:rPr>
            </w:pPr>
            <w:r w:rsidRPr="00EC0F5F">
              <w:rPr>
                <w:rFonts w:ascii="Arial" w:hAnsi="Arial" w:cs="Arial"/>
                <w:lang w:val="en-GB"/>
              </w:rPr>
              <w:t>Non allocated planning permissions &gt; 10 dwellings </w:t>
            </w:r>
          </w:p>
        </w:tc>
        <w:tc>
          <w:tcPr>
            <w:tcW w:w="2395" w:type="dxa"/>
            <w:tcBorders>
              <w:top w:val="single" w:sz="6" w:space="0" w:color="auto"/>
              <w:left w:val="single" w:sz="6" w:space="0" w:color="auto"/>
              <w:bottom w:val="single" w:sz="6" w:space="0" w:color="auto"/>
              <w:right w:val="single" w:sz="6" w:space="0" w:color="auto"/>
            </w:tcBorders>
            <w:shd w:val="clear" w:color="auto" w:fill="E1CCF0"/>
            <w:hideMark/>
          </w:tcPr>
          <w:p w14:paraId="79CB6CCE" w14:textId="77777777" w:rsidR="00175738" w:rsidRPr="00EC0F5F" w:rsidRDefault="00175738" w:rsidP="00FD7DE7">
            <w:pPr>
              <w:rPr>
                <w:rFonts w:ascii="Arial" w:hAnsi="Arial" w:cs="Arial"/>
                <w:lang w:val="en-GB"/>
              </w:rPr>
            </w:pPr>
            <w:r w:rsidRPr="00EC0F5F">
              <w:rPr>
                <w:rFonts w:ascii="Arial" w:hAnsi="Arial" w:cs="Arial"/>
                <w:lang w:val="en-GB"/>
              </w:rPr>
              <w:t>217 </w:t>
            </w:r>
          </w:p>
        </w:tc>
      </w:tr>
      <w:tr w:rsidR="00175738" w:rsidRPr="00EC0F5F" w14:paraId="73F63733"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5E221C1C" w14:textId="77777777" w:rsidR="00175738" w:rsidRPr="00EC0F5F" w:rsidRDefault="00175738" w:rsidP="00FD7DE7">
            <w:pPr>
              <w:rPr>
                <w:rFonts w:ascii="Arial" w:hAnsi="Arial" w:cs="Arial"/>
                <w:lang w:val="en-GB"/>
              </w:rPr>
            </w:pPr>
            <w:r w:rsidRPr="00EC0F5F">
              <w:rPr>
                <w:rFonts w:ascii="Arial" w:hAnsi="Arial" w:cs="Arial"/>
                <w:lang w:val="en-GB"/>
              </w:rPr>
              <w:t>Non allocated planning permissions &lt; 10 dwellings (assumption) </w:t>
            </w:r>
          </w:p>
        </w:tc>
        <w:tc>
          <w:tcPr>
            <w:tcW w:w="2395" w:type="dxa"/>
            <w:tcBorders>
              <w:top w:val="single" w:sz="6" w:space="0" w:color="auto"/>
              <w:left w:val="single" w:sz="6" w:space="0" w:color="auto"/>
              <w:bottom w:val="single" w:sz="6" w:space="0" w:color="auto"/>
              <w:right w:val="single" w:sz="6" w:space="0" w:color="auto"/>
            </w:tcBorders>
            <w:shd w:val="clear" w:color="auto" w:fill="E1CCF0"/>
            <w:hideMark/>
          </w:tcPr>
          <w:p w14:paraId="5D9D3B3B" w14:textId="77777777" w:rsidR="00175738" w:rsidRPr="00EC0F5F" w:rsidRDefault="00175738" w:rsidP="00FD7DE7">
            <w:pPr>
              <w:rPr>
                <w:rFonts w:ascii="Arial" w:hAnsi="Arial" w:cs="Arial"/>
                <w:lang w:val="en-GB"/>
              </w:rPr>
            </w:pPr>
            <w:r w:rsidRPr="00EC0F5F">
              <w:rPr>
                <w:rFonts w:ascii="Arial" w:hAnsi="Arial" w:cs="Arial"/>
                <w:lang w:val="en-GB"/>
              </w:rPr>
              <w:t>310 </w:t>
            </w:r>
          </w:p>
        </w:tc>
      </w:tr>
      <w:tr w:rsidR="00175738" w:rsidRPr="00EC0F5F" w14:paraId="361C6B04"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47B08787" w14:textId="77777777" w:rsidR="00175738" w:rsidRPr="00EC0F5F" w:rsidRDefault="00175738" w:rsidP="00FD7DE7">
            <w:pPr>
              <w:rPr>
                <w:rFonts w:ascii="Arial" w:hAnsi="Arial" w:cs="Arial"/>
                <w:lang w:val="en-GB"/>
              </w:rPr>
            </w:pPr>
            <w:r w:rsidRPr="00EC0F5F">
              <w:rPr>
                <w:rFonts w:ascii="Arial" w:hAnsi="Arial" w:cs="Arial"/>
                <w:lang w:val="en-GB"/>
              </w:rPr>
              <w:t>Local Plan allocations and planning permissions on local plan allocations </w:t>
            </w:r>
          </w:p>
        </w:tc>
        <w:tc>
          <w:tcPr>
            <w:tcW w:w="2395" w:type="dxa"/>
            <w:tcBorders>
              <w:top w:val="single" w:sz="6" w:space="0" w:color="auto"/>
              <w:left w:val="single" w:sz="6" w:space="0" w:color="auto"/>
              <w:bottom w:val="single" w:sz="6" w:space="0" w:color="auto"/>
              <w:right w:val="single" w:sz="6" w:space="0" w:color="auto"/>
            </w:tcBorders>
            <w:shd w:val="clear" w:color="auto" w:fill="E1CCF0"/>
            <w:hideMark/>
          </w:tcPr>
          <w:p w14:paraId="5A4C2460" w14:textId="77777777" w:rsidR="00175738" w:rsidRPr="00EC0F5F" w:rsidRDefault="00175738" w:rsidP="00FD7DE7">
            <w:pPr>
              <w:rPr>
                <w:rFonts w:ascii="Arial" w:hAnsi="Arial" w:cs="Arial"/>
                <w:lang w:val="en-GB"/>
              </w:rPr>
            </w:pPr>
            <w:r w:rsidRPr="00EC0F5F">
              <w:rPr>
                <w:rFonts w:ascii="Arial" w:hAnsi="Arial" w:cs="Arial"/>
                <w:lang w:val="en-GB"/>
              </w:rPr>
              <w:t>4595 </w:t>
            </w:r>
          </w:p>
        </w:tc>
      </w:tr>
      <w:tr w:rsidR="00175738" w:rsidRPr="00EC0F5F" w14:paraId="2440BE59" w14:textId="77777777" w:rsidTr="001158AE">
        <w:trPr>
          <w:trHeight w:val="300"/>
        </w:trPr>
        <w:tc>
          <w:tcPr>
            <w:tcW w:w="6949" w:type="dxa"/>
            <w:tcBorders>
              <w:top w:val="single" w:sz="6" w:space="0" w:color="auto"/>
              <w:left w:val="single" w:sz="6" w:space="0" w:color="auto"/>
              <w:bottom w:val="nil"/>
              <w:right w:val="single" w:sz="6" w:space="0" w:color="auto"/>
            </w:tcBorders>
            <w:shd w:val="clear" w:color="auto" w:fill="E1CCF0"/>
            <w:vAlign w:val="center"/>
            <w:hideMark/>
          </w:tcPr>
          <w:p w14:paraId="7B4240C1" w14:textId="77777777" w:rsidR="00175738" w:rsidRPr="00EC0F5F" w:rsidRDefault="00175738" w:rsidP="00FD7DE7">
            <w:pPr>
              <w:rPr>
                <w:rFonts w:ascii="Arial" w:hAnsi="Arial" w:cs="Arial"/>
                <w:lang w:val="en-GB"/>
              </w:rPr>
            </w:pPr>
            <w:r w:rsidRPr="00EC0F5F">
              <w:rPr>
                <w:rFonts w:ascii="Arial" w:hAnsi="Arial" w:cs="Arial"/>
                <w:lang w:val="en-GB"/>
              </w:rPr>
              <w:t>Windfall Allowance </w:t>
            </w:r>
          </w:p>
        </w:tc>
        <w:tc>
          <w:tcPr>
            <w:tcW w:w="2395" w:type="dxa"/>
            <w:tcBorders>
              <w:top w:val="single" w:sz="6" w:space="0" w:color="auto"/>
              <w:left w:val="single" w:sz="6" w:space="0" w:color="auto"/>
              <w:bottom w:val="nil"/>
              <w:right w:val="single" w:sz="6" w:space="0" w:color="auto"/>
            </w:tcBorders>
            <w:shd w:val="clear" w:color="auto" w:fill="E1CCF0"/>
            <w:hideMark/>
          </w:tcPr>
          <w:p w14:paraId="37BB372E" w14:textId="77777777" w:rsidR="00175738" w:rsidRPr="00EC0F5F" w:rsidRDefault="00175738" w:rsidP="00FD7DE7">
            <w:pPr>
              <w:rPr>
                <w:rFonts w:ascii="Arial" w:hAnsi="Arial" w:cs="Arial"/>
                <w:lang w:val="en-GB"/>
              </w:rPr>
            </w:pPr>
            <w:r w:rsidRPr="00EC0F5F">
              <w:rPr>
                <w:rFonts w:ascii="Arial" w:hAnsi="Arial" w:cs="Arial"/>
                <w:lang w:val="en-GB"/>
              </w:rPr>
              <w:t>631 </w:t>
            </w:r>
          </w:p>
        </w:tc>
      </w:tr>
      <w:tr w:rsidR="00175738" w:rsidRPr="00EC0F5F" w14:paraId="7AB21054"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62D31F9E" w14:textId="77777777" w:rsidR="00175738" w:rsidRPr="00EC0F5F" w:rsidRDefault="00175738" w:rsidP="00FD7DE7">
            <w:pPr>
              <w:rPr>
                <w:rFonts w:ascii="Arial" w:hAnsi="Arial" w:cs="Arial"/>
                <w:lang w:val="en-GB"/>
              </w:rPr>
            </w:pPr>
            <w:r w:rsidRPr="00EC0F5F">
              <w:rPr>
                <w:rFonts w:ascii="Arial" w:hAnsi="Arial" w:cs="Arial"/>
                <w:lang w:val="en-GB"/>
              </w:rPr>
              <w:t>Five Year Deliverable Supply Total </w:t>
            </w:r>
          </w:p>
        </w:tc>
        <w:tc>
          <w:tcPr>
            <w:tcW w:w="2395" w:type="dxa"/>
            <w:tcBorders>
              <w:top w:val="single" w:sz="6" w:space="0" w:color="auto"/>
              <w:left w:val="single" w:sz="6" w:space="0" w:color="auto"/>
              <w:bottom w:val="single" w:sz="6" w:space="0" w:color="auto"/>
              <w:right w:val="single" w:sz="6" w:space="0" w:color="auto"/>
            </w:tcBorders>
            <w:shd w:val="clear" w:color="auto" w:fill="E1CCF0"/>
            <w:hideMark/>
          </w:tcPr>
          <w:p w14:paraId="5870CE95" w14:textId="77777777" w:rsidR="00175738" w:rsidRPr="00EC0F5F" w:rsidRDefault="00175738" w:rsidP="00FD7DE7">
            <w:pPr>
              <w:rPr>
                <w:rFonts w:ascii="Arial" w:hAnsi="Arial" w:cs="Arial"/>
                <w:lang w:val="en-GB"/>
              </w:rPr>
            </w:pPr>
            <w:r w:rsidRPr="00EC0F5F">
              <w:rPr>
                <w:rFonts w:ascii="Arial" w:hAnsi="Arial" w:cs="Arial"/>
                <w:lang w:val="en-GB"/>
              </w:rPr>
              <w:t>5753 </w:t>
            </w:r>
          </w:p>
        </w:tc>
      </w:tr>
      <w:tr w:rsidR="00175738" w:rsidRPr="00EC0F5F" w14:paraId="545BA0C5" w14:textId="77777777" w:rsidTr="001158AE">
        <w:trPr>
          <w:trHeight w:val="300"/>
        </w:trPr>
        <w:tc>
          <w:tcPr>
            <w:tcW w:w="6949" w:type="dxa"/>
            <w:tcBorders>
              <w:top w:val="single" w:sz="6" w:space="0" w:color="auto"/>
              <w:left w:val="single" w:sz="6" w:space="0" w:color="auto"/>
              <w:bottom w:val="single" w:sz="24" w:space="0" w:color="auto"/>
              <w:right w:val="single" w:sz="6" w:space="0" w:color="auto"/>
            </w:tcBorders>
            <w:shd w:val="clear" w:color="auto" w:fill="E1CCF0"/>
            <w:vAlign w:val="center"/>
            <w:hideMark/>
          </w:tcPr>
          <w:p w14:paraId="1C295D6E" w14:textId="73A15835" w:rsidR="00175738" w:rsidRPr="00EC0F5F" w:rsidRDefault="00175738" w:rsidP="00FD7DE7">
            <w:pPr>
              <w:rPr>
                <w:rFonts w:ascii="Arial" w:hAnsi="Arial" w:cs="Arial"/>
                <w:lang w:val="en-GB"/>
              </w:rPr>
            </w:pPr>
            <w:r w:rsidRPr="00EC0F5F">
              <w:rPr>
                <w:rFonts w:ascii="Arial" w:hAnsi="Arial" w:cs="Arial"/>
                <w:lang w:val="en-GB"/>
              </w:rPr>
              <w:t>Predicted Losses</w:t>
            </w:r>
            <w:r w:rsidR="00EC0F5F" w:rsidRPr="00EC0F5F">
              <w:rPr>
                <w:rFonts w:ascii="Arial" w:hAnsi="Arial" w:cs="Arial"/>
                <w:lang w:val="en-GB"/>
              </w:rPr>
              <w:t>*</w:t>
            </w:r>
            <w:r w:rsidRPr="00EC0F5F">
              <w:rPr>
                <w:rFonts w:ascii="Arial" w:hAnsi="Arial" w:cs="Arial"/>
                <w:lang w:val="en-GB"/>
              </w:rPr>
              <w:t> </w:t>
            </w:r>
          </w:p>
        </w:tc>
        <w:tc>
          <w:tcPr>
            <w:tcW w:w="2395" w:type="dxa"/>
            <w:tcBorders>
              <w:top w:val="single" w:sz="6" w:space="0" w:color="auto"/>
              <w:left w:val="single" w:sz="6" w:space="0" w:color="auto"/>
              <w:bottom w:val="single" w:sz="24" w:space="0" w:color="auto"/>
              <w:right w:val="single" w:sz="6" w:space="0" w:color="auto"/>
            </w:tcBorders>
            <w:shd w:val="clear" w:color="auto" w:fill="E1CCF0"/>
            <w:hideMark/>
          </w:tcPr>
          <w:p w14:paraId="79F202A0" w14:textId="77777777" w:rsidR="00175738" w:rsidRPr="00EC0F5F" w:rsidRDefault="00175738" w:rsidP="00FD7DE7">
            <w:pPr>
              <w:rPr>
                <w:rFonts w:ascii="Arial" w:hAnsi="Arial" w:cs="Arial"/>
                <w:lang w:val="en-GB"/>
              </w:rPr>
            </w:pPr>
            <w:r w:rsidRPr="00EC0F5F">
              <w:rPr>
                <w:rFonts w:ascii="Arial" w:hAnsi="Arial" w:cs="Arial"/>
                <w:lang w:val="en-GB"/>
              </w:rPr>
              <w:t>45 </w:t>
            </w:r>
          </w:p>
        </w:tc>
      </w:tr>
      <w:tr w:rsidR="00175738" w:rsidRPr="00EC0F5F" w14:paraId="31D4701A" w14:textId="77777777" w:rsidTr="001158AE">
        <w:trPr>
          <w:trHeight w:val="300"/>
        </w:trPr>
        <w:tc>
          <w:tcPr>
            <w:tcW w:w="6949" w:type="dxa"/>
            <w:tcBorders>
              <w:top w:val="single" w:sz="24" w:space="0" w:color="auto"/>
              <w:left w:val="single" w:sz="24" w:space="0" w:color="auto"/>
              <w:bottom w:val="single" w:sz="24" w:space="0" w:color="auto"/>
              <w:right w:val="single" w:sz="6" w:space="0" w:color="auto"/>
            </w:tcBorders>
            <w:shd w:val="clear" w:color="auto" w:fill="E1CCF0"/>
            <w:vAlign w:val="center"/>
            <w:hideMark/>
          </w:tcPr>
          <w:p w14:paraId="5A338E17" w14:textId="77777777" w:rsidR="00175738" w:rsidRPr="00EC0F5F" w:rsidRDefault="00175738" w:rsidP="00FD7DE7">
            <w:pPr>
              <w:rPr>
                <w:rFonts w:ascii="Arial" w:hAnsi="Arial" w:cs="Arial"/>
                <w:b/>
                <w:bCs/>
                <w:lang w:val="en-GB"/>
              </w:rPr>
            </w:pPr>
            <w:r w:rsidRPr="00EC0F5F">
              <w:rPr>
                <w:rFonts w:ascii="Arial" w:hAnsi="Arial" w:cs="Arial"/>
                <w:b/>
                <w:bCs/>
                <w:lang w:val="en-GB"/>
              </w:rPr>
              <w:t>Five Year Deliverable Net Supply Total </w:t>
            </w:r>
          </w:p>
        </w:tc>
        <w:tc>
          <w:tcPr>
            <w:tcW w:w="2395" w:type="dxa"/>
            <w:tcBorders>
              <w:top w:val="single" w:sz="24" w:space="0" w:color="auto"/>
              <w:left w:val="single" w:sz="6" w:space="0" w:color="auto"/>
              <w:bottom w:val="single" w:sz="24" w:space="0" w:color="auto"/>
              <w:right w:val="single" w:sz="24" w:space="0" w:color="auto"/>
            </w:tcBorders>
            <w:shd w:val="clear" w:color="auto" w:fill="E1CCF0"/>
            <w:hideMark/>
          </w:tcPr>
          <w:p w14:paraId="06DEF11C" w14:textId="77777777" w:rsidR="00175738" w:rsidRPr="00EC0F5F" w:rsidRDefault="00175738" w:rsidP="00FD7DE7">
            <w:pPr>
              <w:rPr>
                <w:rFonts w:ascii="Arial" w:hAnsi="Arial" w:cs="Arial"/>
                <w:b/>
                <w:bCs/>
                <w:lang w:val="en-GB"/>
              </w:rPr>
            </w:pPr>
            <w:r w:rsidRPr="00EC0F5F">
              <w:rPr>
                <w:rFonts w:ascii="Arial" w:hAnsi="Arial" w:cs="Arial"/>
                <w:b/>
                <w:bCs/>
                <w:lang w:val="en-GB"/>
              </w:rPr>
              <w:t>5708 </w:t>
            </w:r>
          </w:p>
        </w:tc>
      </w:tr>
    </w:tbl>
    <w:p w14:paraId="4044FB13" w14:textId="7F3FBBEB" w:rsidR="001158AE" w:rsidRPr="00C629AB" w:rsidRDefault="001158AE" w:rsidP="001158AE">
      <w:pPr>
        <w:spacing w:after="0" w:line="240" w:lineRule="auto"/>
        <w:rPr>
          <w:rFonts w:ascii="Arial" w:hAnsi="Arial" w:cs="Arial"/>
          <w:sz w:val="24"/>
          <w:szCs w:val="24"/>
        </w:rPr>
      </w:pPr>
      <w:r w:rsidRPr="00C629AB">
        <w:rPr>
          <w:rFonts w:ascii="Arial" w:hAnsi="Arial" w:cs="Arial"/>
          <w:sz w:val="24"/>
          <w:szCs w:val="24"/>
        </w:rPr>
        <w:t>*</w:t>
      </w:r>
      <w:r w:rsidRPr="008603ED">
        <w:rPr>
          <w:rFonts w:ascii="Arial" w:hAnsi="Arial" w:cs="Arial"/>
          <w:sz w:val="20"/>
          <w:szCs w:val="20"/>
        </w:rPr>
        <w:t>Predicted losses arrived at by calculating the average of losses from the last 5 years of the plan period set out in table 1. That gives a figure of 9 per annum which is then multiplied by 5.</w:t>
      </w:r>
      <w:r w:rsidRPr="00C629AB">
        <w:rPr>
          <w:rFonts w:ascii="Arial" w:hAnsi="Arial" w:cs="Arial"/>
          <w:sz w:val="24"/>
          <w:szCs w:val="24"/>
        </w:rPr>
        <w:t xml:space="preserve"> </w:t>
      </w:r>
    </w:p>
    <w:p w14:paraId="594E2AE1" w14:textId="77777777" w:rsidR="000E0CD1" w:rsidRPr="00C629AB" w:rsidRDefault="000E0CD1" w:rsidP="0AEAAC3C">
      <w:pPr>
        <w:rPr>
          <w:rFonts w:ascii="Arial" w:hAnsi="Arial" w:cs="Arial"/>
          <w:b/>
          <w:bCs/>
          <w:sz w:val="24"/>
          <w:szCs w:val="24"/>
        </w:rPr>
      </w:pPr>
    </w:p>
    <w:p w14:paraId="030A63DB" w14:textId="4DBC60DC" w:rsidR="002F3694" w:rsidRPr="00EC0F5F" w:rsidRDefault="002F3694" w:rsidP="002F3694">
      <w:pPr>
        <w:spacing w:after="0" w:line="240" w:lineRule="auto"/>
        <w:rPr>
          <w:rFonts w:ascii="Arial" w:hAnsi="Arial" w:cs="Arial"/>
          <w:b/>
          <w:bCs/>
          <w:sz w:val="24"/>
          <w:szCs w:val="24"/>
        </w:rPr>
      </w:pPr>
      <w:r w:rsidRPr="00EC0F5F">
        <w:rPr>
          <w:rFonts w:ascii="Arial" w:hAnsi="Arial" w:cs="Arial"/>
          <w:b/>
          <w:bCs/>
          <w:sz w:val="24"/>
          <w:szCs w:val="24"/>
        </w:rPr>
        <w:t>Local Plan Allocation</w:t>
      </w:r>
      <w:r w:rsidR="00675500" w:rsidRPr="00EC0F5F">
        <w:rPr>
          <w:rFonts w:ascii="Arial" w:hAnsi="Arial" w:cs="Arial"/>
          <w:b/>
          <w:bCs/>
          <w:sz w:val="24"/>
          <w:szCs w:val="24"/>
        </w:rPr>
        <w:t>s</w:t>
      </w:r>
      <w:r w:rsidRPr="00EC0F5F">
        <w:rPr>
          <w:rFonts w:ascii="Arial" w:hAnsi="Arial" w:cs="Arial"/>
          <w:b/>
          <w:bCs/>
          <w:sz w:val="24"/>
          <w:szCs w:val="24"/>
        </w:rPr>
        <w:t xml:space="preserve"> and Sites with Planning Permission for more than 10 dwellings </w:t>
      </w:r>
    </w:p>
    <w:p w14:paraId="4C8C1552" w14:textId="77777777" w:rsidR="002F3694" w:rsidRPr="00C629AB" w:rsidRDefault="002F3694" w:rsidP="002F3694">
      <w:pPr>
        <w:spacing w:after="0" w:line="240" w:lineRule="auto"/>
        <w:rPr>
          <w:rFonts w:ascii="Arial" w:hAnsi="Arial" w:cs="Arial"/>
          <w:b/>
          <w:bCs/>
          <w:sz w:val="24"/>
          <w:szCs w:val="24"/>
        </w:rPr>
      </w:pPr>
    </w:p>
    <w:p w14:paraId="588AAC94" w14:textId="6C2DBBFB" w:rsidR="002F3694" w:rsidRPr="00C629AB" w:rsidRDefault="002F3694" w:rsidP="00EC0F5F">
      <w:pPr>
        <w:pStyle w:val="Proofpara"/>
      </w:pPr>
      <w:r w:rsidRPr="00C629AB">
        <w:t xml:space="preserve">The Council has estimated supply from Local Plan allocations (with and without permission) and large non allocated sites with planning permission based on the assumptions set out in </w:t>
      </w:r>
      <w:r w:rsidR="006C0D6E" w:rsidRPr="00C629AB">
        <w:t>Five Year Deliverable Housing Land Supply Report (April 2021-March 2026)</w:t>
      </w:r>
      <w:r w:rsidR="00F64077" w:rsidRPr="00C629AB">
        <w:t xml:space="preserve"> and summarized in </w:t>
      </w:r>
      <w:r w:rsidR="00F64077" w:rsidRPr="00881F43">
        <w:t>appendix one.</w:t>
      </w:r>
      <w:r w:rsidR="006C0D6E" w:rsidRPr="00C629AB">
        <w:t xml:space="preserve">  </w:t>
      </w:r>
      <w:r w:rsidRPr="00C629AB">
        <w:t>The projections are based on the latest understood position, updated as appropriate following</w:t>
      </w:r>
      <w:r w:rsidR="006C0D6E" w:rsidRPr="00C629AB">
        <w:t xml:space="preserve"> contact with </w:t>
      </w:r>
      <w:r w:rsidR="00830C89" w:rsidRPr="00C629AB">
        <w:t xml:space="preserve">sites applicants/agents and /or landowners and </w:t>
      </w:r>
      <w:r w:rsidRPr="00C629AB">
        <w:t>an officer assessment group including colleagues from planning and housing using their local knowledge.</w:t>
      </w:r>
    </w:p>
    <w:p w14:paraId="4073AB06" w14:textId="0ADFB7EF" w:rsidR="002F3694" w:rsidRPr="00C629AB" w:rsidRDefault="002F3694" w:rsidP="00EC0F5F">
      <w:pPr>
        <w:pStyle w:val="Proofpara"/>
        <w:rPr>
          <w:i/>
          <w:iCs/>
          <w:color w:val="FF0000"/>
        </w:rPr>
      </w:pPr>
      <w:r w:rsidRPr="001D7278">
        <w:t>Appendi</w:t>
      </w:r>
      <w:r w:rsidR="001D7278" w:rsidRPr="001D7278">
        <w:t>x</w:t>
      </w:r>
      <w:r w:rsidRPr="001D7278">
        <w:t xml:space="preserve"> </w:t>
      </w:r>
      <w:r w:rsidR="00F64077" w:rsidRPr="001D7278">
        <w:t>2</w:t>
      </w:r>
      <w:r w:rsidRPr="001D7278">
        <w:t xml:space="preserve"> </w:t>
      </w:r>
      <w:r w:rsidRPr="00C629AB">
        <w:t>show</w:t>
      </w:r>
      <w:r w:rsidR="001D7278">
        <w:t>s</w:t>
      </w:r>
      <w:r w:rsidRPr="00C629AB">
        <w:t xml:space="preserve"> an updated housing trajectory (base date 1 April 2024) for Local Plan Allocations (with and without planning permission) and non allocated large sites with planning permission, respectively. The relevant five year supply period is shaded gr</w:t>
      </w:r>
      <w:r w:rsidR="001D7278">
        <w:t>ey</w:t>
      </w:r>
      <w:r w:rsidRPr="00C629AB">
        <w:t>.</w:t>
      </w:r>
      <w:r w:rsidR="009247F8" w:rsidRPr="00C629AB">
        <w:t xml:space="preserve"> </w:t>
      </w:r>
    </w:p>
    <w:p w14:paraId="0EB908D9" w14:textId="77777777" w:rsidR="00B13B4D" w:rsidRPr="00C629AB" w:rsidRDefault="00B13B4D" w:rsidP="002F3694">
      <w:pPr>
        <w:spacing w:after="0" w:line="240" w:lineRule="auto"/>
        <w:rPr>
          <w:rFonts w:ascii="Arial" w:hAnsi="Arial" w:cs="Arial"/>
          <w:i/>
          <w:iCs/>
          <w:color w:val="FF0000"/>
          <w:sz w:val="24"/>
          <w:szCs w:val="24"/>
        </w:rPr>
      </w:pPr>
    </w:p>
    <w:p w14:paraId="47F7DE35" w14:textId="77777777" w:rsidR="0040725B" w:rsidRDefault="0040725B">
      <w:pPr>
        <w:rPr>
          <w:rFonts w:ascii="Arial" w:hAnsi="Arial"/>
          <w:b/>
          <w:bCs/>
          <w:sz w:val="24"/>
        </w:rPr>
      </w:pPr>
      <w:bookmarkStart w:id="1" w:name="_Toc170324417"/>
      <w:bookmarkStart w:id="2" w:name="_Toc171407265"/>
      <w:r>
        <w:rPr>
          <w:b/>
          <w:bCs/>
        </w:rPr>
        <w:br w:type="page"/>
      </w:r>
    </w:p>
    <w:p w14:paraId="62C4A1CF" w14:textId="58FB9E61" w:rsidR="00B13B4D" w:rsidRPr="00EC0F5F" w:rsidRDefault="00B13B4D" w:rsidP="00EC0F5F">
      <w:pPr>
        <w:pStyle w:val="Proofpara"/>
        <w:numPr>
          <w:ilvl w:val="0"/>
          <w:numId w:val="0"/>
        </w:numPr>
        <w:ind w:left="720" w:hanging="720"/>
        <w:rPr>
          <w:b/>
          <w:bCs/>
        </w:rPr>
      </w:pPr>
      <w:r w:rsidRPr="00EC0F5F">
        <w:rPr>
          <w:b/>
          <w:bCs/>
        </w:rPr>
        <w:t>Sites with planning permission for fewer than 10 dwellings</w:t>
      </w:r>
      <w:bookmarkEnd w:id="1"/>
      <w:bookmarkEnd w:id="2"/>
    </w:p>
    <w:p w14:paraId="2C807DFB" w14:textId="601AEDA2" w:rsidR="00B13B4D" w:rsidRPr="00C629AB" w:rsidRDefault="00B13B4D" w:rsidP="00EC0F5F">
      <w:pPr>
        <w:pStyle w:val="Proofpara"/>
        <w:rPr>
          <w:rFonts w:cs="Arial"/>
          <w:color w:val="FF0000"/>
          <w:szCs w:val="24"/>
        </w:rPr>
      </w:pPr>
      <w:r w:rsidRPr="00EC0F5F">
        <w:t xml:space="preserve">It is not practical to assess deliverability on small sites with less than 10 dwellings on a </w:t>
      </w:r>
      <w:bookmarkStart w:id="3" w:name="_Int_yXoSJQEG"/>
      <w:r w:rsidRPr="00EC0F5F">
        <w:t>site by site</w:t>
      </w:r>
      <w:bookmarkEnd w:id="3"/>
      <w:r w:rsidRPr="00EC0F5F">
        <w:t xml:space="preserve"> basis therefore an evidentially derived discount has been used as set out in appendix </w:t>
      </w:r>
      <w:r w:rsidR="00C765D5" w:rsidRPr="00EC0F5F">
        <w:t>one</w:t>
      </w:r>
      <w:r w:rsidRPr="00EC0F5F">
        <w:t xml:space="preserve"> regarding non implementation rates.  Using past completion data, it has been assumed</w:t>
      </w:r>
      <w:r w:rsidRPr="00C629AB">
        <w:rPr>
          <w:rFonts w:cs="Arial"/>
          <w:szCs w:val="24"/>
        </w:rPr>
        <w:t xml:space="preserve"> that 62</w:t>
      </w:r>
      <w:r w:rsidRPr="00C629AB">
        <w:rPr>
          <w:rFonts w:cs="Arial"/>
          <w:color w:val="FF0000"/>
          <w:szCs w:val="24"/>
        </w:rPr>
        <w:t xml:space="preserve"> </w:t>
      </w:r>
      <w:r w:rsidRPr="00C629AB">
        <w:rPr>
          <w:rFonts w:cs="Arial"/>
          <w:szCs w:val="24"/>
        </w:rPr>
        <w:t>dwellings per annum will be completed on small sites.</w:t>
      </w:r>
    </w:p>
    <w:p w14:paraId="586DE2B8" w14:textId="77777777" w:rsidR="00B13B4D" w:rsidRPr="00C629AB" w:rsidRDefault="00B13B4D" w:rsidP="00B13B4D">
      <w:pPr>
        <w:pStyle w:val="Proofpara"/>
        <w:numPr>
          <w:ilvl w:val="0"/>
          <w:numId w:val="0"/>
        </w:numPr>
        <w:rPr>
          <w:rFonts w:cs="Arial"/>
          <w:b/>
          <w:bCs/>
          <w:szCs w:val="24"/>
        </w:rPr>
      </w:pPr>
      <w:r w:rsidRPr="00C629AB">
        <w:rPr>
          <w:rFonts w:cs="Arial"/>
          <w:b/>
          <w:bCs/>
          <w:szCs w:val="24"/>
        </w:rPr>
        <w:t>Windfalls</w:t>
      </w:r>
    </w:p>
    <w:p w14:paraId="60F16B7A" w14:textId="052BDE7E" w:rsidR="00B41341" w:rsidRPr="00EC0F5F" w:rsidRDefault="00B41341" w:rsidP="00EC0F5F">
      <w:pPr>
        <w:pStyle w:val="Proofpara"/>
        <w:rPr>
          <w:rStyle w:val="normaltextrun"/>
        </w:rPr>
      </w:pPr>
      <w:r w:rsidRPr="00EC0F5F">
        <w:t xml:space="preserve">The Council’s </w:t>
      </w:r>
      <w:bookmarkStart w:id="4" w:name="_Int_fgsouwH8"/>
      <w:r w:rsidRPr="00EC0F5F">
        <w:t>five year</w:t>
      </w:r>
      <w:bookmarkEnd w:id="4"/>
      <w:r w:rsidRPr="00EC0F5F">
        <w:t xml:space="preserve"> land supply includes a p</w:t>
      </w:r>
      <w:r w:rsidRPr="00EC0F5F">
        <w:rPr>
          <w:rStyle w:val="normaltextrun"/>
        </w:rPr>
        <w:t xml:space="preserve">redictive windfall allowance amended each year reflecting a rolling </w:t>
      </w:r>
      <w:bookmarkStart w:id="5" w:name="_Int_UrUIH0HZ"/>
      <w:r w:rsidRPr="00EC0F5F">
        <w:rPr>
          <w:rStyle w:val="normaltextrun"/>
        </w:rPr>
        <w:t>five year</w:t>
      </w:r>
      <w:bookmarkEnd w:id="5"/>
      <w:r w:rsidRPr="00EC0F5F">
        <w:rPr>
          <w:rStyle w:val="normaltextrun"/>
        </w:rPr>
        <w:t xml:space="preserve"> pattern based on the most recent past performance to ensure robust and up to date.  The methodology for calculating the allowance is set out in </w:t>
      </w:r>
      <w:r w:rsidRPr="00EC0F5F">
        <w:t>Five Year Deliverable Housing Land Supply Report (April 2021-March 2026)</w:t>
      </w:r>
      <w:r w:rsidRPr="00EC0F5F">
        <w:rPr>
          <w:rStyle w:val="normaltextrun"/>
        </w:rPr>
        <w:t>, paragraphs 19 to 24</w:t>
      </w:r>
      <w:bookmarkStart w:id="6" w:name="_Int_Ai9PAQNJ"/>
      <w:r w:rsidRPr="00EC0F5F">
        <w:rPr>
          <w:rStyle w:val="normaltextrun"/>
        </w:rPr>
        <w:t xml:space="preserve">.  </w:t>
      </w:r>
      <w:bookmarkEnd w:id="6"/>
    </w:p>
    <w:p w14:paraId="28B5208E" w14:textId="43D6FCB4" w:rsidR="00B41341" w:rsidRPr="00C629AB" w:rsidRDefault="00B41341" w:rsidP="00EC0F5F">
      <w:pPr>
        <w:pStyle w:val="Proofpara"/>
        <w:rPr>
          <w:rStyle w:val="normaltextrun"/>
          <w:rFonts w:cs="Arial"/>
          <w:color w:val="000000"/>
          <w:szCs w:val="24"/>
          <w:shd w:val="clear" w:color="auto" w:fill="FFFFFF"/>
        </w:rPr>
      </w:pPr>
      <w:r w:rsidRPr="00EC0F5F">
        <w:rPr>
          <w:rStyle w:val="normaltextrun"/>
        </w:rPr>
        <w:t>The number of full and reserved matters windfall dwellings granted, on new sites, in the last five</w:t>
      </w:r>
      <w:r w:rsidRPr="00C629AB">
        <w:rPr>
          <w:rStyle w:val="normaltextrun"/>
          <w:rFonts w:cs="Arial"/>
          <w:color w:val="000000"/>
          <w:szCs w:val="24"/>
          <w:shd w:val="clear" w:color="auto" w:fill="FFFFFF"/>
        </w:rPr>
        <w:t xml:space="preserve"> years is shown in table </w:t>
      </w:r>
      <w:r w:rsidR="00F437A7" w:rsidRPr="00C629AB">
        <w:rPr>
          <w:rStyle w:val="normaltextrun"/>
          <w:rFonts w:cs="Arial"/>
          <w:color w:val="000000"/>
          <w:szCs w:val="24"/>
          <w:shd w:val="clear" w:color="auto" w:fill="FFFFFF"/>
        </w:rPr>
        <w:t>4</w:t>
      </w:r>
      <w:r w:rsidRPr="00C629AB">
        <w:rPr>
          <w:rStyle w:val="normaltextrun"/>
          <w:rFonts w:cs="Arial"/>
          <w:color w:val="000000"/>
          <w:szCs w:val="24"/>
          <w:shd w:val="clear" w:color="auto" w:fill="FFFFFF"/>
        </w:rPr>
        <w:t xml:space="preserve"> below.</w:t>
      </w:r>
    </w:p>
    <w:p w14:paraId="0282CC49" w14:textId="77777777" w:rsidR="0073327C" w:rsidRPr="00C629AB" w:rsidRDefault="0073327C" w:rsidP="0073327C">
      <w:pPr>
        <w:ind w:firstLine="360"/>
        <w:rPr>
          <w:rFonts w:ascii="Arial" w:hAnsi="Arial" w:cs="Arial"/>
          <w:b/>
          <w:bCs/>
          <w:sz w:val="24"/>
          <w:szCs w:val="24"/>
        </w:rPr>
      </w:pPr>
      <w:r w:rsidRPr="00C629AB">
        <w:rPr>
          <w:rFonts w:ascii="Arial" w:hAnsi="Arial" w:cs="Arial"/>
          <w:b/>
          <w:bCs/>
          <w:sz w:val="24"/>
          <w:szCs w:val="24"/>
        </w:rPr>
        <w:t>Table 4: Windfall dwellings (Full and Reserved Matters)</w:t>
      </w: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4: Windfall dwellings (Full and Reserved Matters)"/>
      </w:tblPr>
      <w:tblGrid>
        <w:gridCol w:w="4048"/>
        <w:gridCol w:w="4677"/>
      </w:tblGrid>
      <w:tr w:rsidR="0073327C" w:rsidRPr="00EC0F5F" w14:paraId="51CAAD31" w14:textId="77777777" w:rsidTr="00475275">
        <w:trPr>
          <w:trHeight w:val="256"/>
          <w:jc w:val="center"/>
        </w:trPr>
        <w:tc>
          <w:tcPr>
            <w:tcW w:w="2320" w:type="pct"/>
            <w:shd w:val="clear" w:color="auto" w:fill="E1CCF0"/>
            <w:noWrap/>
            <w:tcMar>
              <w:top w:w="28" w:type="dxa"/>
            </w:tcMar>
            <w:vAlign w:val="center"/>
            <w:hideMark/>
          </w:tcPr>
          <w:p w14:paraId="6EE3B2F5" w14:textId="77777777" w:rsidR="0073327C" w:rsidRPr="00EC0F5F" w:rsidRDefault="0073327C" w:rsidP="00475275">
            <w:pPr>
              <w:jc w:val="center"/>
              <w:rPr>
                <w:rFonts w:ascii="Arial" w:hAnsi="Arial" w:cs="Arial"/>
                <w:b/>
                <w:bCs/>
              </w:rPr>
            </w:pPr>
            <w:r w:rsidRPr="00EC0F5F">
              <w:rPr>
                <w:rFonts w:ascii="Arial" w:hAnsi="Arial" w:cs="Arial"/>
                <w:b/>
                <w:bCs/>
              </w:rPr>
              <w:t>Year granted</w:t>
            </w:r>
          </w:p>
        </w:tc>
        <w:tc>
          <w:tcPr>
            <w:tcW w:w="2680" w:type="pct"/>
            <w:shd w:val="clear" w:color="auto" w:fill="E1CCF0"/>
            <w:noWrap/>
            <w:tcMar>
              <w:top w:w="28" w:type="dxa"/>
            </w:tcMar>
            <w:vAlign w:val="center"/>
            <w:hideMark/>
          </w:tcPr>
          <w:p w14:paraId="305541D1" w14:textId="77777777" w:rsidR="0073327C" w:rsidRPr="00EC0F5F" w:rsidRDefault="0073327C" w:rsidP="00475275">
            <w:pPr>
              <w:jc w:val="center"/>
              <w:rPr>
                <w:rFonts w:ascii="Arial" w:hAnsi="Arial" w:cs="Arial"/>
                <w:b/>
                <w:bCs/>
              </w:rPr>
            </w:pPr>
            <w:r w:rsidRPr="00EC0F5F">
              <w:rPr>
                <w:rFonts w:ascii="Arial" w:hAnsi="Arial" w:cs="Arial"/>
                <w:b/>
                <w:bCs/>
              </w:rPr>
              <w:t>Windfall Dwellings</w:t>
            </w:r>
          </w:p>
        </w:tc>
      </w:tr>
      <w:tr w:rsidR="0073327C" w:rsidRPr="00EC0F5F" w14:paraId="47D4FCCF" w14:textId="77777777" w:rsidTr="00475275">
        <w:trPr>
          <w:trHeight w:val="256"/>
          <w:jc w:val="center"/>
        </w:trPr>
        <w:tc>
          <w:tcPr>
            <w:tcW w:w="2320" w:type="pct"/>
            <w:shd w:val="clear" w:color="auto" w:fill="E1CCF0"/>
            <w:tcMar>
              <w:top w:w="28" w:type="dxa"/>
            </w:tcMar>
            <w:vAlign w:val="center"/>
          </w:tcPr>
          <w:p w14:paraId="67630877" w14:textId="77777777" w:rsidR="0073327C" w:rsidRPr="00EC0F5F" w:rsidRDefault="0073327C" w:rsidP="00475275">
            <w:pPr>
              <w:jc w:val="center"/>
              <w:rPr>
                <w:rFonts w:ascii="Arial" w:hAnsi="Arial" w:cs="Arial"/>
              </w:rPr>
            </w:pPr>
            <w:r w:rsidRPr="00EC0F5F">
              <w:rPr>
                <w:rFonts w:ascii="Arial" w:hAnsi="Arial" w:cs="Arial"/>
              </w:rPr>
              <w:t>2019/20</w:t>
            </w:r>
          </w:p>
        </w:tc>
        <w:tc>
          <w:tcPr>
            <w:tcW w:w="2680" w:type="pct"/>
            <w:shd w:val="clear" w:color="auto" w:fill="E1CCF0"/>
            <w:tcMar>
              <w:top w:w="28" w:type="dxa"/>
            </w:tcMar>
            <w:vAlign w:val="center"/>
          </w:tcPr>
          <w:p w14:paraId="5D48AB00" w14:textId="77777777" w:rsidR="0073327C" w:rsidRPr="00EC0F5F" w:rsidRDefault="0073327C" w:rsidP="00475275">
            <w:pPr>
              <w:jc w:val="center"/>
              <w:rPr>
                <w:rFonts w:ascii="Arial" w:hAnsi="Arial" w:cs="Arial"/>
              </w:rPr>
            </w:pPr>
            <w:r w:rsidRPr="00EC0F5F">
              <w:rPr>
                <w:rFonts w:ascii="Arial" w:hAnsi="Arial" w:cs="Arial"/>
              </w:rPr>
              <w:t>207</w:t>
            </w:r>
          </w:p>
        </w:tc>
      </w:tr>
      <w:tr w:rsidR="0073327C" w:rsidRPr="00EC0F5F" w14:paraId="7BBFAA8B" w14:textId="77777777" w:rsidTr="00475275">
        <w:trPr>
          <w:trHeight w:val="256"/>
          <w:jc w:val="center"/>
        </w:trPr>
        <w:tc>
          <w:tcPr>
            <w:tcW w:w="2320" w:type="pct"/>
            <w:shd w:val="clear" w:color="auto" w:fill="E1CCF0"/>
            <w:tcMar>
              <w:top w:w="28" w:type="dxa"/>
            </w:tcMar>
            <w:vAlign w:val="center"/>
          </w:tcPr>
          <w:p w14:paraId="50F37AEC" w14:textId="77777777" w:rsidR="0073327C" w:rsidRPr="00EC0F5F" w:rsidRDefault="0073327C" w:rsidP="00475275">
            <w:pPr>
              <w:jc w:val="center"/>
              <w:rPr>
                <w:rFonts w:ascii="Arial" w:hAnsi="Arial" w:cs="Arial"/>
                <w:highlight w:val="yellow"/>
              </w:rPr>
            </w:pPr>
            <w:r w:rsidRPr="00EC0F5F">
              <w:rPr>
                <w:rFonts w:ascii="Arial" w:hAnsi="Arial" w:cs="Arial"/>
              </w:rPr>
              <w:t>2020/21</w:t>
            </w:r>
          </w:p>
        </w:tc>
        <w:tc>
          <w:tcPr>
            <w:tcW w:w="2680" w:type="pct"/>
            <w:shd w:val="clear" w:color="auto" w:fill="E1CCF0"/>
            <w:tcMar>
              <w:top w:w="28" w:type="dxa"/>
            </w:tcMar>
            <w:vAlign w:val="center"/>
          </w:tcPr>
          <w:p w14:paraId="27BF94E4" w14:textId="77777777" w:rsidR="0073327C" w:rsidRPr="00EC0F5F" w:rsidRDefault="0073327C" w:rsidP="00475275">
            <w:pPr>
              <w:jc w:val="center"/>
              <w:rPr>
                <w:rFonts w:ascii="Arial" w:hAnsi="Arial" w:cs="Arial"/>
                <w:highlight w:val="yellow"/>
              </w:rPr>
            </w:pPr>
            <w:r w:rsidRPr="00EC0F5F">
              <w:rPr>
                <w:rFonts w:ascii="Arial" w:hAnsi="Arial" w:cs="Arial"/>
              </w:rPr>
              <w:t>190</w:t>
            </w:r>
          </w:p>
        </w:tc>
      </w:tr>
      <w:tr w:rsidR="0073327C" w:rsidRPr="00EC0F5F" w14:paraId="50CCCD6E" w14:textId="77777777" w:rsidTr="00475275">
        <w:trPr>
          <w:trHeight w:val="256"/>
          <w:jc w:val="center"/>
        </w:trPr>
        <w:tc>
          <w:tcPr>
            <w:tcW w:w="2320" w:type="pct"/>
            <w:shd w:val="clear" w:color="auto" w:fill="E1CCF0"/>
            <w:tcMar>
              <w:top w:w="28" w:type="dxa"/>
            </w:tcMar>
            <w:vAlign w:val="center"/>
          </w:tcPr>
          <w:p w14:paraId="02FE8DC9" w14:textId="77777777" w:rsidR="0073327C" w:rsidRPr="00EC0F5F" w:rsidRDefault="0073327C" w:rsidP="00475275">
            <w:pPr>
              <w:jc w:val="center"/>
              <w:rPr>
                <w:rFonts w:ascii="Arial" w:hAnsi="Arial" w:cs="Arial"/>
                <w:highlight w:val="yellow"/>
              </w:rPr>
            </w:pPr>
            <w:r w:rsidRPr="00EC0F5F">
              <w:rPr>
                <w:rFonts w:ascii="Arial" w:hAnsi="Arial" w:cs="Arial"/>
              </w:rPr>
              <w:t>2021/22</w:t>
            </w:r>
          </w:p>
        </w:tc>
        <w:tc>
          <w:tcPr>
            <w:tcW w:w="2680" w:type="pct"/>
            <w:shd w:val="clear" w:color="auto" w:fill="E1CCF0"/>
            <w:tcMar>
              <w:top w:w="28" w:type="dxa"/>
            </w:tcMar>
            <w:vAlign w:val="center"/>
          </w:tcPr>
          <w:p w14:paraId="7A921216" w14:textId="77777777" w:rsidR="0073327C" w:rsidRPr="00EC0F5F" w:rsidRDefault="0073327C" w:rsidP="00475275">
            <w:pPr>
              <w:jc w:val="center"/>
              <w:rPr>
                <w:rFonts w:ascii="Arial" w:hAnsi="Arial" w:cs="Arial"/>
                <w:highlight w:val="yellow"/>
              </w:rPr>
            </w:pPr>
            <w:r w:rsidRPr="00EC0F5F">
              <w:rPr>
                <w:rFonts w:ascii="Arial" w:hAnsi="Arial" w:cs="Arial"/>
              </w:rPr>
              <w:t>352</w:t>
            </w:r>
          </w:p>
        </w:tc>
      </w:tr>
      <w:tr w:rsidR="0073327C" w:rsidRPr="00EC0F5F" w14:paraId="7F91392C" w14:textId="77777777" w:rsidTr="00475275">
        <w:trPr>
          <w:trHeight w:val="256"/>
          <w:jc w:val="center"/>
        </w:trPr>
        <w:tc>
          <w:tcPr>
            <w:tcW w:w="2320" w:type="pct"/>
            <w:shd w:val="clear" w:color="auto" w:fill="E1CCF0"/>
            <w:tcMar>
              <w:top w:w="28" w:type="dxa"/>
            </w:tcMar>
            <w:vAlign w:val="center"/>
          </w:tcPr>
          <w:p w14:paraId="5BF1D40B" w14:textId="77777777" w:rsidR="0073327C" w:rsidRPr="00EC0F5F" w:rsidRDefault="0073327C" w:rsidP="00475275">
            <w:pPr>
              <w:jc w:val="center"/>
              <w:rPr>
                <w:rFonts w:ascii="Arial" w:hAnsi="Arial" w:cs="Arial"/>
                <w:highlight w:val="yellow"/>
              </w:rPr>
            </w:pPr>
            <w:r w:rsidRPr="00EC0F5F">
              <w:rPr>
                <w:rFonts w:ascii="Arial" w:hAnsi="Arial" w:cs="Arial"/>
              </w:rPr>
              <w:t>2022/23</w:t>
            </w:r>
          </w:p>
        </w:tc>
        <w:tc>
          <w:tcPr>
            <w:tcW w:w="2680" w:type="pct"/>
            <w:shd w:val="clear" w:color="auto" w:fill="E1CCF0"/>
            <w:tcMar>
              <w:top w:w="28" w:type="dxa"/>
            </w:tcMar>
            <w:vAlign w:val="center"/>
          </w:tcPr>
          <w:p w14:paraId="67609717" w14:textId="77777777" w:rsidR="0073327C" w:rsidRPr="00EC0F5F" w:rsidRDefault="0073327C" w:rsidP="00475275">
            <w:pPr>
              <w:jc w:val="center"/>
              <w:rPr>
                <w:rFonts w:ascii="Arial" w:hAnsi="Arial" w:cs="Arial"/>
                <w:highlight w:val="yellow"/>
              </w:rPr>
            </w:pPr>
            <w:r w:rsidRPr="00EC0F5F">
              <w:rPr>
                <w:rFonts w:ascii="Arial" w:hAnsi="Arial" w:cs="Arial"/>
              </w:rPr>
              <w:t>185</w:t>
            </w:r>
          </w:p>
        </w:tc>
      </w:tr>
      <w:tr w:rsidR="0073327C" w:rsidRPr="00EC0F5F" w14:paraId="7868FFFB" w14:textId="77777777" w:rsidTr="00475275">
        <w:trPr>
          <w:trHeight w:val="256"/>
          <w:jc w:val="center"/>
        </w:trPr>
        <w:tc>
          <w:tcPr>
            <w:tcW w:w="2320" w:type="pct"/>
            <w:tcBorders>
              <w:bottom w:val="single" w:sz="18" w:space="0" w:color="auto"/>
            </w:tcBorders>
            <w:shd w:val="clear" w:color="auto" w:fill="E1CCF0"/>
            <w:tcMar>
              <w:top w:w="28" w:type="dxa"/>
            </w:tcMar>
            <w:vAlign w:val="center"/>
          </w:tcPr>
          <w:p w14:paraId="014B5BCD" w14:textId="77777777" w:rsidR="0073327C" w:rsidRPr="00EC0F5F" w:rsidRDefault="0073327C" w:rsidP="00475275">
            <w:pPr>
              <w:jc w:val="center"/>
              <w:rPr>
                <w:rFonts w:ascii="Arial" w:hAnsi="Arial" w:cs="Arial"/>
              </w:rPr>
            </w:pPr>
            <w:r w:rsidRPr="00EC0F5F">
              <w:rPr>
                <w:rFonts w:ascii="Arial" w:hAnsi="Arial" w:cs="Arial"/>
              </w:rPr>
              <w:t>2023/24</w:t>
            </w:r>
          </w:p>
        </w:tc>
        <w:tc>
          <w:tcPr>
            <w:tcW w:w="2680" w:type="pct"/>
            <w:tcBorders>
              <w:bottom w:val="single" w:sz="18" w:space="0" w:color="auto"/>
            </w:tcBorders>
            <w:shd w:val="clear" w:color="auto" w:fill="E1CCF0"/>
            <w:tcMar>
              <w:top w:w="28" w:type="dxa"/>
            </w:tcMar>
            <w:vAlign w:val="center"/>
          </w:tcPr>
          <w:p w14:paraId="430D830A" w14:textId="77777777" w:rsidR="0073327C" w:rsidRPr="00EC0F5F" w:rsidRDefault="0073327C" w:rsidP="00475275">
            <w:pPr>
              <w:jc w:val="center"/>
              <w:rPr>
                <w:rFonts w:ascii="Arial" w:hAnsi="Arial" w:cs="Arial"/>
              </w:rPr>
            </w:pPr>
            <w:r w:rsidRPr="00EC0F5F">
              <w:rPr>
                <w:rFonts w:ascii="Arial" w:hAnsi="Arial" w:cs="Arial"/>
              </w:rPr>
              <w:t>112</w:t>
            </w:r>
          </w:p>
        </w:tc>
      </w:tr>
      <w:tr w:rsidR="0073327C" w:rsidRPr="00EC0F5F" w14:paraId="7B9B1889" w14:textId="77777777" w:rsidTr="00475275">
        <w:trPr>
          <w:trHeight w:val="256"/>
          <w:jc w:val="center"/>
        </w:trPr>
        <w:tc>
          <w:tcPr>
            <w:tcW w:w="5000" w:type="pct"/>
            <w:gridSpan w:val="2"/>
            <w:tcBorders>
              <w:top w:val="single" w:sz="18" w:space="0" w:color="auto"/>
              <w:left w:val="single" w:sz="18" w:space="0" w:color="auto"/>
              <w:bottom w:val="single" w:sz="18" w:space="0" w:color="auto"/>
              <w:right w:val="single" w:sz="18" w:space="0" w:color="auto"/>
            </w:tcBorders>
            <w:shd w:val="clear" w:color="auto" w:fill="E1CCF0"/>
            <w:tcMar>
              <w:top w:w="28" w:type="dxa"/>
            </w:tcMar>
            <w:vAlign w:val="center"/>
          </w:tcPr>
          <w:p w14:paraId="6F313452" w14:textId="77777777" w:rsidR="0073327C" w:rsidRPr="00EC0F5F" w:rsidRDefault="0073327C" w:rsidP="00475275">
            <w:pPr>
              <w:rPr>
                <w:rFonts w:ascii="Arial" w:hAnsi="Arial" w:cs="Arial"/>
                <w:b/>
                <w:bCs/>
              </w:rPr>
            </w:pPr>
            <w:r w:rsidRPr="00EC0F5F">
              <w:rPr>
                <w:rFonts w:ascii="Arial" w:hAnsi="Arial" w:cs="Arial"/>
                <w:b/>
                <w:bCs/>
              </w:rPr>
              <w:t>Annual average of the last 5 years</w:t>
            </w:r>
          </w:p>
          <w:p w14:paraId="4DB11C9C" w14:textId="77777777" w:rsidR="0073327C" w:rsidRPr="00EC0F5F" w:rsidRDefault="0073327C" w:rsidP="00475275">
            <w:pPr>
              <w:rPr>
                <w:rFonts w:ascii="Arial" w:hAnsi="Arial" w:cs="Arial"/>
              </w:rPr>
            </w:pPr>
            <w:r w:rsidRPr="00EC0F5F">
              <w:rPr>
                <w:rFonts w:ascii="Arial" w:hAnsi="Arial" w:cs="Arial"/>
              </w:rPr>
              <w:t>Total granted over last 5 years (2019/2020 to 2023/2024) = 1046</w:t>
            </w:r>
          </w:p>
          <w:p w14:paraId="1EA35907" w14:textId="77777777" w:rsidR="0073327C" w:rsidRPr="00EC0F5F" w:rsidRDefault="0073327C" w:rsidP="00475275">
            <w:pPr>
              <w:rPr>
                <w:rFonts w:ascii="Arial" w:hAnsi="Arial" w:cs="Arial"/>
              </w:rPr>
            </w:pPr>
            <w:r w:rsidRPr="00EC0F5F">
              <w:rPr>
                <w:rFonts w:ascii="Arial" w:hAnsi="Arial" w:cs="Arial"/>
              </w:rPr>
              <w:t>1046/5 = 209 five year average</w:t>
            </w:r>
          </w:p>
        </w:tc>
      </w:tr>
    </w:tbl>
    <w:p w14:paraId="08094C6A" w14:textId="77777777" w:rsidR="0073327C" w:rsidRPr="00C629AB" w:rsidRDefault="0073327C" w:rsidP="0073327C">
      <w:pPr>
        <w:jc w:val="both"/>
        <w:rPr>
          <w:rFonts w:ascii="Arial" w:hAnsi="Arial" w:cs="Arial"/>
          <w:color w:val="FF0000"/>
          <w:sz w:val="24"/>
          <w:szCs w:val="24"/>
        </w:rPr>
      </w:pPr>
    </w:p>
    <w:p w14:paraId="67C52FBC" w14:textId="77777777" w:rsidR="0073327C" w:rsidRPr="00C629AB" w:rsidRDefault="0073327C" w:rsidP="00EC0F5F">
      <w:pPr>
        <w:pStyle w:val="Proofpara"/>
        <w:rPr>
          <w:lang w:eastAsia="en-GB"/>
        </w:rPr>
      </w:pPr>
      <w:r w:rsidRPr="00C629AB">
        <w:t>The methodology takes an average of the last five years to arrive at an estimate that 209 windfalls will be granted each year up to 2028/29. Evidence shows what percentage of windfalls granted were built out in the subsequent 5 years (Build Out % in table 5 below). When this is applied cumulatively 66% of those granted were built out in 5 years, 6% of those granted were built out in 4 years, 6% in 3 years, 2% in 2 years and 2% in 1 year.  When these percentages are applied to the annual 209 windfall figure, we get a total of 624 new windfall dwellings expected over the next five years. This is demonstrated in table 5 below.</w:t>
      </w:r>
    </w:p>
    <w:p w14:paraId="30536F04" w14:textId="097E2636" w:rsidR="0073327C" w:rsidRPr="00C629AB" w:rsidRDefault="0073327C" w:rsidP="00EC0F5F">
      <w:pPr>
        <w:tabs>
          <w:tab w:val="left" w:pos="9465"/>
        </w:tabs>
        <w:rPr>
          <w:rFonts w:ascii="Arial" w:hAnsi="Arial" w:cs="Arial"/>
          <w:color w:val="000000" w:themeColor="text1"/>
          <w:sz w:val="24"/>
          <w:szCs w:val="24"/>
        </w:rPr>
      </w:pPr>
      <w:r w:rsidRPr="00C629AB">
        <w:rPr>
          <w:rFonts w:ascii="Arial" w:hAnsi="Arial" w:cs="Arial"/>
          <w:b/>
          <w:bCs/>
          <w:color w:val="000000" w:themeColor="text1"/>
          <w:sz w:val="24"/>
          <w:szCs w:val="24"/>
        </w:rPr>
        <w:t>Table 5: Build out rates</w:t>
      </w:r>
    </w:p>
    <w:tbl>
      <w:tblPr>
        <w:tblW w:w="11265"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5: Build out rates"/>
      </w:tblPr>
      <w:tblGrid>
        <w:gridCol w:w="1208"/>
        <w:gridCol w:w="1266"/>
        <w:gridCol w:w="1208"/>
        <w:gridCol w:w="1208"/>
        <w:gridCol w:w="1208"/>
        <w:gridCol w:w="1208"/>
        <w:gridCol w:w="1208"/>
        <w:gridCol w:w="1699"/>
        <w:gridCol w:w="1052"/>
      </w:tblGrid>
      <w:tr w:rsidR="00DD6188" w:rsidRPr="00EC0F5F" w14:paraId="1CF4E5FA" w14:textId="77777777" w:rsidTr="00C411D6">
        <w:trPr>
          <w:trHeight w:val="344"/>
        </w:trPr>
        <w:tc>
          <w:tcPr>
            <w:tcW w:w="1208" w:type="dxa"/>
            <w:vMerge w:val="restart"/>
            <w:shd w:val="clear" w:color="auto" w:fill="E1CCF0"/>
            <w:vAlign w:val="center"/>
          </w:tcPr>
          <w:p w14:paraId="0BD6AF71" w14:textId="77777777" w:rsidR="0073327C" w:rsidRPr="00EC0F5F" w:rsidRDefault="0073327C" w:rsidP="00475275">
            <w:pPr>
              <w:rPr>
                <w:rFonts w:ascii="Arial" w:hAnsi="Arial" w:cs="Arial"/>
                <w:b/>
                <w:bCs/>
              </w:rPr>
            </w:pPr>
            <w:r w:rsidRPr="00EC0F5F">
              <w:rPr>
                <w:rFonts w:ascii="Arial" w:hAnsi="Arial" w:cs="Arial"/>
                <w:b/>
                <w:bCs/>
              </w:rPr>
              <w:t>Year</w:t>
            </w:r>
          </w:p>
        </w:tc>
        <w:tc>
          <w:tcPr>
            <w:tcW w:w="1266" w:type="dxa"/>
            <w:vMerge w:val="restart"/>
            <w:shd w:val="clear" w:color="auto" w:fill="E1CCF0"/>
            <w:vAlign w:val="center"/>
          </w:tcPr>
          <w:p w14:paraId="4615445D" w14:textId="77777777" w:rsidR="0073327C" w:rsidRPr="00EC0F5F" w:rsidRDefault="0073327C" w:rsidP="00475275">
            <w:pPr>
              <w:rPr>
                <w:rFonts w:ascii="Arial" w:hAnsi="Arial" w:cs="Arial"/>
                <w:b/>
                <w:bCs/>
              </w:rPr>
            </w:pPr>
            <w:r w:rsidRPr="00EC0F5F">
              <w:rPr>
                <w:rFonts w:ascii="Arial" w:hAnsi="Arial" w:cs="Arial"/>
                <w:b/>
                <w:bCs/>
              </w:rPr>
              <w:t>Windfalls</w:t>
            </w:r>
          </w:p>
        </w:tc>
        <w:tc>
          <w:tcPr>
            <w:tcW w:w="6040" w:type="dxa"/>
            <w:gridSpan w:val="5"/>
            <w:shd w:val="clear" w:color="auto" w:fill="E1CCF0"/>
            <w:vAlign w:val="center"/>
          </w:tcPr>
          <w:p w14:paraId="38EC741C" w14:textId="77777777" w:rsidR="0073327C" w:rsidRPr="00EC0F5F" w:rsidRDefault="0073327C" w:rsidP="00475275">
            <w:pPr>
              <w:jc w:val="center"/>
              <w:rPr>
                <w:rFonts w:ascii="Arial" w:hAnsi="Arial" w:cs="Arial"/>
                <w:b/>
                <w:bCs/>
              </w:rPr>
            </w:pPr>
            <w:r w:rsidRPr="00EC0F5F">
              <w:rPr>
                <w:rFonts w:ascii="Arial" w:hAnsi="Arial" w:cs="Arial"/>
                <w:b/>
                <w:bCs/>
              </w:rPr>
              <w:t>Yearly Build Out</w:t>
            </w:r>
          </w:p>
        </w:tc>
        <w:tc>
          <w:tcPr>
            <w:tcW w:w="1699" w:type="dxa"/>
            <w:shd w:val="clear" w:color="auto" w:fill="E1CCF0"/>
            <w:vAlign w:val="center"/>
          </w:tcPr>
          <w:p w14:paraId="622F2538" w14:textId="77777777" w:rsidR="0073327C" w:rsidRPr="00EC0F5F" w:rsidRDefault="0073327C" w:rsidP="00475275">
            <w:pPr>
              <w:rPr>
                <w:rFonts w:ascii="Arial" w:hAnsi="Arial" w:cs="Arial"/>
                <w:b/>
                <w:bCs/>
              </w:rPr>
            </w:pPr>
          </w:p>
        </w:tc>
        <w:tc>
          <w:tcPr>
            <w:tcW w:w="1052" w:type="dxa"/>
            <w:shd w:val="clear" w:color="auto" w:fill="E1CCF0"/>
            <w:vAlign w:val="center"/>
          </w:tcPr>
          <w:p w14:paraId="45B3C762" w14:textId="77777777" w:rsidR="0073327C" w:rsidRPr="00EC0F5F" w:rsidRDefault="0073327C" w:rsidP="00475275">
            <w:pPr>
              <w:rPr>
                <w:rFonts w:ascii="Arial" w:hAnsi="Arial" w:cs="Arial"/>
                <w:b/>
                <w:bCs/>
              </w:rPr>
            </w:pPr>
          </w:p>
        </w:tc>
      </w:tr>
      <w:tr w:rsidR="00DD6188" w:rsidRPr="00EC0F5F" w14:paraId="44D094B9" w14:textId="77777777" w:rsidTr="00C411D6">
        <w:trPr>
          <w:trHeight w:val="112"/>
        </w:trPr>
        <w:tc>
          <w:tcPr>
            <w:tcW w:w="1208" w:type="dxa"/>
            <w:vMerge/>
          </w:tcPr>
          <w:p w14:paraId="7A276675" w14:textId="77777777" w:rsidR="0073327C" w:rsidRPr="00EC0F5F" w:rsidRDefault="0073327C" w:rsidP="00475275">
            <w:pPr>
              <w:rPr>
                <w:rFonts w:ascii="Arial" w:hAnsi="Arial" w:cs="Arial"/>
                <w:b/>
                <w:bCs/>
              </w:rPr>
            </w:pPr>
          </w:p>
        </w:tc>
        <w:tc>
          <w:tcPr>
            <w:tcW w:w="1266" w:type="dxa"/>
            <w:vMerge/>
          </w:tcPr>
          <w:p w14:paraId="54929103" w14:textId="77777777" w:rsidR="0073327C" w:rsidRPr="00EC0F5F" w:rsidRDefault="0073327C" w:rsidP="00475275">
            <w:pPr>
              <w:rPr>
                <w:rFonts w:ascii="Arial" w:hAnsi="Arial" w:cs="Arial"/>
                <w:b/>
                <w:bCs/>
              </w:rPr>
            </w:pPr>
          </w:p>
        </w:tc>
        <w:tc>
          <w:tcPr>
            <w:tcW w:w="1208" w:type="dxa"/>
            <w:shd w:val="clear" w:color="auto" w:fill="E1CCF0"/>
            <w:vAlign w:val="center"/>
          </w:tcPr>
          <w:p w14:paraId="15D1F955" w14:textId="77777777" w:rsidR="0073327C" w:rsidRPr="00EC0F5F" w:rsidRDefault="0073327C" w:rsidP="00475275">
            <w:pPr>
              <w:rPr>
                <w:rFonts w:ascii="Arial" w:hAnsi="Arial" w:cs="Arial"/>
                <w:b/>
                <w:bCs/>
              </w:rPr>
            </w:pPr>
            <w:r w:rsidRPr="00EC0F5F">
              <w:rPr>
                <w:rFonts w:ascii="Arial" w:hAnsi="Arial" w:cs="Arial"/>
                <w:b/>
                <w:bCs/>
              </w:rPr>
              <w:t>2024/25</w:t>
            </w:r>
          </w:p>
        </w:tc>
        <w:tc>
          <w:tcPr>
            <w:tcW w:w="1208" w:type="dxa"/>
            <w:shd w:val="clear" w:color="auto" w:fill="E1CCF0"/>
            <w:vAlign w:val="center"/>
          </w:tcPr>
          <w:p w14:paraId="3356F22B" w14:textId="77777777" w:rsidR="0073327C" w:rsidRPr="00EC0F5F" w:rsidRDefault="0073327C" w:rsidP="00475275">
            <w:pPr>
              <w:rPr>
                <w:rFonts w:ascii="Arial" w:hAnsi="Arial" w:cs="Arial"/>
                <w:b/>
                <w:bCs/>
              </w:rPr>
            </w:pPr>
            <w:r w:rsidRPr="00EC0F5F">
              <w:rPr>
                <w:rFonts w:ascii="Arial" w:hAnsi="Arial" w:cs="Arial"/>
                <w:b/>
                <w:bCs/>
              </w:rPr>
              <w:t>2025/26</w:t>
            </w:r>
          </w:p>
        </w:tc>
        <w:tc>
          <w:tcPr>
            <w:tcW w:w="1208" w:type="dxa"/>
            <w:shd w:val="clear" w:color="auto" w:fill="E1CCF0"/>
            <w:vAlign w:val="center"/>
          </w:tcPr>
          <w:p w14:paraId="29952F9E" w14:textId="77777777" w:rsidR="0073327C" w:rsidRPr="00EC0F5F" w:rsidRDefault="0073327C" w:rsidP="00475275">
            <w:pPr>
              <w:rPr>
                <w:rFonts w:ascii="Arial" w:hAnsi="Arial" w:cs="Arial"/>
                <w:b/>
                <w:bCs/>
              </w:rPr>
            </w:pPr>
            <w:r w:rsidRPr="00EC0F5F">
              <w:rPr>
                <w:rFonts w:ascii="Arial" w:hAnsi="Arial" w:cs="Arial"/>
                <w:b/>
                <w:bCs/>
              </w:rPr>
              <w:t>2026/27</w:t>
            </w:r>
          </w:p>
        </w:tc>
        <w:tc>
          <w:tcPr>
            <w:tcW w:w="1208" w:type="dxa"/>
            <w:shd w:val="clear" w:color="auto" w:fill="E1CCF0"/>
            <w:vAlign w:val="center"/>
          </w:tcPr>
          <w:p w14:paraId="5B508BA0" w14:textId="77777777" w:rsidR="0073327C" w:rsidRPr="00EC0F5F" w:rsidRDefault="0073327C" w:rsidP="00475275">
            <w:pPr>
              <w:rPr>
                <w:rFonts w:ascii="Arial" w:hAnsi="Arial" w:cs="Arial"/>
                <w:b/>
                <w:bCs/>
              </w:rPr>
            </w:pPr>
            <w:r w:rsidRPr="00EC0F5F">
              <w:rPr>
                <w:rFonts w:ascii="Arial" w:hAnsi="Arial" w:cs="Arial"/>
                <w:b/>
                <w:bCs/>
              </w:rPr>
              <w:t>2027/28</w:t>
            </w:r>
          </w:p>
        </w:tc>
        <w:tc>
          <w:tcPr>
            <w:tcW w:w="1208" w:type="dxa"/>
            <w:shd w:val="clear" w:color="auto" w:fill="E1CCF0"/>
            <w:vAlign w:val="center"/>
          </w:tcPr>
          <w:p w14:paraId="3C09610D" w14:textId="77777777" w:rsidR="0073327C" w:rsidRPr="00EC0F5F" w:rsidRDefault="0073327C" w:rsidP="00475275">
            <w:pPr>
              <w:rPr>
                <w:rFonts w:ascii="Arial" w:hAnsi="Arial" w:cs="Arial"/>
                <w:b/>
                <w:bCs/>
              </w:rPr>
            </w:pPr>
            <w:r w:rsidRPr="00EC0F5F">
              <w:rPr>
                <w:rFonts w:ascii="Arial" w:hAnsi="Arial" w:cs="Arial"/>
                <w:b/>
                <w:bCs/>
              </w:rPr>
              <w:t>2028/29</w:t>
            </w:r>
          </w:p>
        </w:tc>
        <w:tc>
          <w:tcPr>
            <w:tcW w:w="1699" w:type="dxa"/>
            <w:shd w:val="clear" w:color="auto" w:fill="E1CCF0"/>
            <w:vAlign w:val="center"/>
          </w:tcPr>
          <w:p w14:paraId="4EDD0717" w14:textId="77777777" w:rsidR="0073327C" w:rsidRPr="00EC0F5F" w:rsidRDefault="0073327C" w:rsidP="00475275">
            <w:pPr>
              <w:rPr>
                <w:rFonts w:ascii="Arial" w:hAnsi="Arial" w:cs="Arial"/>
                <w:b/>
                <w:bCs/>
              </w:rPr>
            </w:pPr>
            <w:r w:rsidRPr="00EC0F5F">
              <w:rPr>
                <w:rFonts w:ascii="Arial" w:hAnsi="Arial" w:cs="Arial"/>
                <w:b/>
                <w:bCs/>
              </w:rPr>
              <w:t>Build out %</w:t>
            </w:r>
          </w:p>
          <w:p w14:paraId="1065CF41" w14:textId="77777777" w:rsidR="0073327C" w:rsidRPr="00EC0F5F" w:rsidRDefault="0073327C" w:rsidP="00475275">
            <w:pPr>
              <w:rPr>
                <w:rFonts w:ascii="Arial" w:hAnsi="Arial" w:cs="Arial"/>
                <w:b/>
                <w:bCs/>
              </w:rPr>
            </w:pPr>
            <w:r w:rsidRPr="00EC0F5F">
              <w:rPr>
                <w:rFonts w:ascii="Arial" w:hAnsi="Arial" w:cs="Arial"/>
                <w:b/>
                <w:bCs/>
              </w:rPr>
              <w:t>(Cumulative)</w:t>
            </w:r>
          </w:p>
        </w:tc>
        <w:tc>
          <w:tcPr>
            <w:tcW w:w="1052" w:type="dxa"/>
            <w:shd w:val="clear" w:color="auto" w:fill="E1CCF0"/>
            <w:vAlign w:val="center"/>
          </w:tcPr>
          <w:p w14:paraId="2CCCB88C" w14:textId="77777777" w:rsidR="0073327C" w:rsidRPr="00EC0F5F" w:rsidRDefault="0073327C" w:rsidP="00475275">
            <w:pPr>
              <w:rPr>
                <w:rFonts w:ascii="Arial" w:hAnsi="Arial" w:cs="Arial"/>
                <w:b/>
                <w:bCs/>
              </w:rPr>
            </w:pPr>
            <w:r w:rsidRPr="00EC0F5F">
              <w:rPr>
                <w:rFonts w:ascii="Arial" w:hAnsi="Arial" w:cs="Arial"/>
                <w:b/>
                <w:bCs/>
              </w:rPr>
              <w:t xml:space="preserve">Build out </w:t>
            </w:r>
          </w:p>
        </w:tc>
      </w:tr>
      <w:tr w:rsidR="00DD6188" w:rsidRPr="00EC0F5F" w14:paraId="2940C74A" w14:textId="77777777" w:rsidTr="00C411D6">
        <w:trPr>
          <w:trHeight w:val="344"/>
        </w:trPr>
        <w:tc>
          <w:tcPr>
            <w:tcW w:w="1208" w:type="dxa"/>
            <w:shd w:val="clear" w:color="auto" w:fill="E1CCF0"/>
          </w:tcPr>
          <w:p w14:paraId="10E64A16" w14:textId="77777777" w:rsidR="0073327C" w:rsidRPr="00EC0F5F" w:rsidRDefault="0073327C" w:rsidP="00475275">
            <w:pPr>
              <w:rPr>
                <w:rFonts w:ascii="Arial" w:hAnsi="Arial" w:cs="Arial"/>
                <w:b/>
                <w:bCs/>
              </w:rPr>
            </w:pPr>
            <w:r w:rsidRPr="00EC0F5F">
              <w:rPr>
                <w:rFonts w:ascii="Arial" w:hAnsi="Arial" w:cs="Arial"/>
                <w:b/>
                <w:bCs/>
              </w:rPr>
              <w:t>2024/25</w:t>
            </w:r>
          </w:p>
        </w:tc>
        <w:tc>
          <w:tcPr>
            <w:tcW w:w="1266" w:type="dxa"/>
            <w:shd w:val="clear" w:color="auto" w:fill="E1CCF0"/>
          </w:tcPr>
          <w:p w14:paraId="6DB4EF67"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51513236" w14:textId="77777777" w:rsidR="0073327C" w:rsidRPr="00EC0F5F" w:rsidRDefault="0073327C" w:rsidP="00475275">
            <w:pPr>
              <w:rPr>
                <w:rFonts w:ascii="Arial" w:hAnsi="Arial" w:cs="Arial"/>
                <w:color w:val="FF0000"/>
              </w:rPr>
            </w:pPr>
            <w:r w:rsidRPr="00EC0F5F">
              <w:rPr>
                <w:rFonts w:ascii="Arial" w:hAnsi="Arial" w:cs="Arial"/>
              </w:rPr>
              <w:t>105.573</w:t>
            </w:r>
          </w:p>
        </w:tc>
        <w:tc>
          <w:tcPr>
            <w:tcW w:w="1208" w:type="dxa"/>
            <w:shd w:val="clear" w:color="auto" w:fill="E1CCF0"/>
          </w:tcPr>
          <w:p w14:paraId="33001BC2"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2635A8A9"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7394244C" w14:textId="77777777" w:rsidR="0073327C" w:rsidRPr="00EC0F5F" w:rsidRDefault="0073327C" w:rsidP="00475275">
            <w:pPr>
              <w:rPr>
                <w:rFonts w:ascii="Arial" w:hAnsi="Arial" w:cs="Arial"/>
                <w:color w:val="FF0000"/>
              </w:rPr>
            </w:pPr>
            <w:r w:rsidRPr="00EC0F5F">
              <w:rPr>
                <w:rFonts w:ascii="Arial" w:hAnsi="Arial" w:cs="Arial"/>
              </w:rPr>
              <w:t>3.406</w:t>
            </w:r>
          </w:p>
        </w:tc>
        <w:tc>
          <w:tcPr>
            <w:tcW w:w="1208" w:type="dxa"/>
            <w:shd w:val="clear" w:color="auto" w:fill="E1CCF0"/>
          </w:tcPr>
          <w:p w14:paraId="15416DB3" w14:textId="77777777" w:rsidR="0073327C" w:rsidRPr="00EC0F5F" w:rsidRDefault="0073327C" w:rsidP="00475275">
            <w:pPr>
              <w:rPr>
                <w:rFonts w:ascii="Arial" w:hAnsi="Arial" w:cs="Arial"/>
                <w:color w:val="FF0000"/>
              </w:rPr>
            </w:pPr>
            <w:r w:rsidRPr="00EC0F5F">
              <w:rPr>
                <w:rFonts w:ascii="Arial" w:hAnsi="Arial" w:cs="Arial"/>
              </w:rPr>
              <w:t>3.892</w:t>
            </w:r>
          </w:p>
        </w:tc>
        <w:tc>
          <w:tcPr>
            <w:tcW w:w="1699" w:type="dxa"/>
            <w:shd w:val="clear" w:color="auto" w:fill="E1CCF0"/>
          </w:tcPr>
          <w:p w14:paraId="0A1A29B2"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51 (66)</w:t>
            </w:r>
          </w:p>
        </w:tc>
        <w:tc>
          <w:tcPr>
            <w:tcW w:w="1052" w:type="dxa"/>
            <w:shd w:val="clear" w:color="auto" w:fill="E1CCF0"/>
          </w:tcPr>
          <w:p w14:paraId="28BE57F3" w14:textId="77777777" w:rsidR="0073327C" w:rsidRPr="00EC0F5F" w:rsidRDefault="0073327C" w:rsidP="00475275">
            <w:pPr>
              <w:rPr>
                <w:rFonts w:ascii="Arial" w:hAnsi="Arial" w:cs="Arial"/>
                <w:color w:val="FF0000"/>
              </w:rPr>
            </w:pPr>
            <w:r w:rsidRPr="00EC0F5F">
              <w:rPr>
                <w:rFonts w:ascii="Arial" w:hAnsi="Arial" w:cs="Arial"/>
              </w:rPr>
              <w:t>137.196</w:t>
            </w:r>
          </w:p>
        </w:tc>
      </w:tr>
      <w:tr w:rsidR="00DD6188" w:rsidRPr="00EC0F5F" w14:paraId="160FB831" w14:textId="77777777" w:rsidTr="00C411D6">
        <w:trPr>
          <w:trHeight w:val="344"/>
        </w:trPr>
        <w:tc>
          <w:tcPr>
            <w:tcW w:w="1208" w:type="dxa"/>
            <w:shd w:val="clear" w:color="auto" w:fill="E1CCF0"/>
          </w:tcPr>
          <w:p w14:paraId="352A3CB2" w14:textId="77777777" w:rsidR="0073327C" w:rsidRPr="00EC0F5F" w:rsidRDefault="0073327C" w:rsidP="00475275">
            <w:pPr>
              <w:rPr>
                <w:rFonts w:ascii="Arial" w:hAnsi="Arial" w:cs="Arial"/>
                <w:b/>
                <w:bCs/>
              </w:rPr>
            </w:pPr>
            <w:r w:rsidRPr="00EC0F5F">
              <w:rPr>
                <w:rFonts w:ascii="Arial" w:hAnsi="Arial" w:cs="Arial"/>
                <w:b/>
                <w:bCs/>
              </w:rPr>
              <w:t>2025/26</w:t>
            </w:r>
          </w:p>
        </w:tc>
        <w:tc>
          <w:tcPr>
            <w:tcW w:w="1266" w:type="dxa"/>
            <w:shd w:val="clear" w:color="auto" w:fill="E1CCF0"/>
          </w:tcPr>
          <w:p w14:paraId="30675833"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07AF66B6" w14:textId="77777777" w:rsidR="0073327C" w:rsidRPr="00EC0F5F" w:rsidRDefault="0073327C" w:rsidP="00475275">
            <w:pPr>
              <w:rPr>
                <w:rFonts w:ascii="Arial" w:hAnsi="Arial" w:cs="Arial"/>
                <w:color w:val="FF0000"/>
              </w:rPr>
            </w:pPr>
          </w:p>
        </w:tc>
        <w:tc>
          <w:tcPr>
            <w:tcW w:w="1208" w:type="dxa"/>
            <w:shd w:val="clear" w:color="auto" w:fill="E1CCF0"/>
          </w:tcPr>
          <w:p w14:paraId="6F0400D9" w14:textId="77777777" w:rsidR="0073327C" w:rsidRPr="00EC0F5F" w:rsidRDefault="0073327C" w:rsidP="00475275">
            <w:pPr>
              <w:rPr>
                <w:rFonts w:ascii="Arial" w:hAnsi="Arial" w:cs="Arial"/>
                <w:color w:val="FF0000"/>
              </w:rPr>
            </w:pPr>
            <w:r w:rsidRPr="00EC0F5F">
              <w:rPr>
                <w:rFonts w:ascii="Arial" w:hAnsi="Arial" w:cs="Arial"/>
              </w:rPr>
              <w:t>105.573</w:t>
            </w:r>
          </w:p>
        </w:tc>
        <w:tc>
          <w:tcPr>
            <w:tcW w:w="1208" w:type="dxa"/>
            <w:shd w:val="clear" w:color="auto" w:fill="E1CCF0"/>
          </w:tcPr>
          <w:p w14:paraId="07A16F89"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5740810F"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60A3EF51" w14:textId="77777777" w:rsidR="0073327C" w:rsidRPr="00EC0F5F" w:rsidRDefault="0073327C" w:rsidP="00475275">
            <w:pPr>
              <w:rPr>
                <w:rFonts w:ascii="Arial" w:hAnsi="Arial" w:cs="Arial"/>
                <w:color w:val="FF0000"/>
              </w:rPr>
            </w:pPr>
            <w:r w:rsidRPr="00EC0F5F">
              <w:rPr>
                <w:rFonts w:ascii="Arial" w:hAnsi="Arial" w:cs="Arial"/>
              </w:rPr>
              <w:t>3.406</w:t>
            </w:r>
          </w:p>
        </w:tc>
        <w:tc>
          <w:tcPr>
            <w:tcW w:w="1699" w:type="dxa"/>
            <w:shd w:val="clear" w:color="auto" w:fill="E1CCF0"/>
          </w:tcPr>
          <w:p w14:paraId="0C20F296"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6 (64)</w:t>
            </w:r>
          </w:p>
        </w:tc>
        <w:tc>
          <w:tcPr>
            <w:tcW w:w="1052" w:type="dxa"/>
            <w:shd w:val="clear" w:color="auto" w:fill="E1CCF0"/>
          </w:tcPr>
          <w:p w14:paraId="67071724" w14:textId="77777777" w:rsidR="0073327C" w:rsidRPr="00EC0F5F" w:rsidRDefault="0073327C" w:rsidP="00475275">
            <w:pPr>
              <w:rPr>
                <w:rFonts w:ascii="Arial" w:hAnsi="Arial" w:cs="Arial"/>
                <w:color w:val="FF0000"/>
              </w:rPr>
            </w:pPr>
            <w:r w:rsidRPr="00EC0F5F">
              <w:rPr>
                <w:rFonts w:ascii="Arial" w:hAnsi="Arial" w:cs="Arial"/>
              </w:rPr>
              <w:t>133.304</w:t>
            </w:r>
          </w:p>
        </w:tc>
      </w:tr>
      <w:tr w:rsidR="00DD6188" w:rsidRPr="00EC0F5F" w14:paraId="2F0A0A85" w14:textId="77777777" w:rsidTr="00C411D6">
        <w:trPr>
          <w:trHeight w:val="344"/>
        </w:trPr>
        <w:tc>
          <w:tcPr>
            <w:tcW w:w="1208" w:type="dxa"/>
            <w:shd w:val="clear" w:color="auto" w:fill="E1CCF0"/>
          </w:tcPr>
          <w:p w14:paraId="7419E9CB" w14:textId="77777777" w:rsidR="0073327C" w:rsidRPr="00EC0F5F" w:rsidRDefault="0073327C" w:rsidP="00475275">
            <w:pPr>
              <w:rPr>
                <w:rFonts w:ascii="Arial" w:hAnsi="Arial" w:cs="Arial"/>
                <w:b/>
                <w:bCs/>
              </w:rPr>
            </w:pPr>
            <w:r w:rsidRPr="00EC0F5F">
              <w:rPr>
                <w:rFonts w:ascii="Arial" w:hAnsi="Arial" w:cs="Arial"/>
                <w:b/>
                <w:bCs/>
              </w:rPr>
              <w:t>2026/27</w:t>
            </w:r>
          </w:p>
        </w:tc>
        <w:tc>
          <w:tcPr>
            <w:tcW w:w="1266" w:type="dxa"/>
            <w:shd w:val="clear" w:color="auto" w:fill="E1CCF0"/>
          </w:tcPr>
          <w:p w14:paraId="212B0137"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09DA6730" w14:textId="77777777" w:rsidR="0073327C" w:rsidRPr="00EC0F5F" w:rsidRDefault="0073327C" w:rsidP="00475275">
            <w:pPr>
              <w:rPr>
                <w:rFonts w:ascii="Arial" w:hAnsi="Arial" w:cs="Arial"/>
                <w:color w:val="FF0000"/>
              </w:rPr>
            </w:pPr>
          </w:p>
        </w:tc>
        <w:tc>
          <w:tcPr>
            <w:tcW w:w="1208" w:type="dxa"/>
            <w:shd w:val="clear" w:color="auto" w:fill="E1CCF0"/>
          </w:tcPr>
          <w:p w14:paraId="1AB54580" w14:textId="77777777" w:rsidR="0073327C" w:rsidRPr="00EC0F5F" w:rsidRDefault="0073327C" w:rsidP="00475275">
            <w:pPr>
              <w:rPr>
                <w:rFonts w:ascii="Arial" w:hAnsi="Arial" w:cs="Arial"/>
                <w:color w:val="FF0000"/>
              </w:rPr>
            </w:pPr>
          </w:p>
        </w:tc>
        <w:tc>
          <w:tcPr>
            <w:tcW w:w="1208" w:type="dxa"/>
            <w:shd w:val="clear" w:color="auto" w:fill="E1CCF0"/>
          </w:tcPr>
          <w:p w14:paraId="373807A8" w14:textId="77777777" w:rsidR="0073327C" w:rsidRPr="00EC0F5F" w:rsidRDefault="0073327C" w:rsidP="00475275">
            <w:pPr>
              <w:rPr>
                <w:rFonts w:ascii="Arial" w:hAnsi="Arial" w:cs="Arial"/>
                <w:color w:val="FF0000"/>
              </w:rPr>
            </w:pPr>
            <w:r w:rsidRPr="00EC0F5F">
              <w:rPr>
                <w:rFonts w:ascii="Arial" w:hAnsi="Arial" w:cs="Arial"/>
              </w:rPr>
              <w:t>105.573</w:t>
            </w:r>
          </w:p>
        </w:tc>
        <w:tc>
          <w:tcPr>
            <w:tcW w:w="1208" w:type="dxa"/>
            <w:shd w:val="clear" w:color="auto" w:fill="E1CCF0"/>
          </w:tcPr>
          <w:p w14:paraId="7B8A8ECB"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0D950EFD" w14:textId="77777777" w:rsidR="0073327C" w:rsidRPr="00EC0F5F" w:rsidRDefault="0073327C" w:rsidP="00475275">
            <w:pPr>
              <w:rPr>
                <w:rFonts w:ascii="Arial" w:hAnsi="Arial" w:cs="Arial"/>
                <w:color w:val="FF0000"/>
              </w:rPr>
            </w:pPr>
            <w:r w:rsidRPr="00EC0F5F">
              <w:rPr>
                <w:rFonts w:ascii="Arial" w:hAnsi="Arial" w:cs="Arial"/>
              </w:rPr>
              <w:t>12.163</w:t>
            </w:r>
          </w:p>
        </w:tc>
        <w:tc>
          <w:tcPr>
            <w:tcW w:w="1699" w:type="dxa"/>
            <w:shd w:val="clear" w:color="auto" w:fill="E1CCF0"/>
          </w:tcPr>
          <w:p w14:paraId="2A6CC286"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6 (62)</w:t>
            </w:r>
          </w:p>
        </w:tc>
        <w:tc>
          <w:tcPr>
            <w:tcW w:w="1052" w:type="dxa"/>
            <w:shd w:val="clear" w:color="auto" w:fill="E1CCF0"/>
          </w:tcPr>
          <w:p w14:paraId="296F5484" w14:textId="77777777" w:rsidR="0073327C" w:rsidRPr="00EC0F5F" w:rsidRDefault="0073327C" w:rsidP="00475275">
            <w:pPr>
              <w:rPr>
                <w:rFonts w:ascii="Arial" w:hAnsi="Arial" w:cs="Arial"/>
                <w:color w:val="FF0000"/>
              </w:rPr>
            </w:pPr>
            <w:r w:rsidRPr="00EC0F5F">
              <w:rPr>
                <w:rFonts w:ascii="Arial" w:hAnsi="Arial" w:cs="Arial"/>
              </w:rPr>
              <w:t>129.899</w:t>
            </w:r>
          </w:p>
        </w:tc>
      </w:tr>
      <w:tr w:rsidR="00DD6188" w:rsidRPr="00EC0F5F" w14:paraId="1A31EDDE" w14:textId="77777777" w:rsidTr="00C411D6">
        <w:trPr>
          <w:trHeight w:val="344"/>
        </w:trPr>
        <w:tc>
          <w:tcPr>
            <w:tcW w:w="1208" w:type="dxa"/>
            <w:shd w:val="clear" w:color="auto" w:fill="E1CCF0"/>
          </w:tcPr>
          <w:p w14:paraId="2F425D7E" w14:textId="77777777" w:rsidR="0073327C" w:rsidRPr="00EC0F5F" w:rsidRDefault="0073327C" w:rsidP="00475275">
            <w:pPr>
              <w:rPr>
                <w:rFonts w:ascii="Arial" w:hAnsi="Arial" w:cs="Arial"/>
                <w:b/>
                <w:bCs/>
              </w:rPr>
            </w:pPr>
            <w:r w:rsidRPr="00EC0F5F">
              <w:rPr>
                <w:rFonts w:ascii="Arial" w:hAnsi="Arial" w:cs="Arial"/>
                <w:b/>
                <w:bCs/>
              </w:rPr>
              <w:t>2027/28</w:t>
            </w:r>
          </w:p>
        </w:tc>
        <w:tc>
          <w:tcPr>
            <w:tcW w:w="1266" w:type="dxa"/>
            <w:shd w:val="clear" w:color="auto" w:fill="E1CCF0"/>
          </w:tcPr>
          <w:p w14:paraId="20098810"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28B586C2" w14:textId="77777777" w:rsidR="0073327C" w:rsidRPr="00EC0F5F" w:rsidRDefault="0073327C" w:rsidP="00475275">
            <w:pPr>
              <w:rPr>
                <w:rFonts w:ascii="Arial" w:hAnsi="Arial" w:cs="Arial"/>
                <w:color w:val="FF0000"/>
              </w:rPr>
            </w:pPr>
          </w:p>
        </w:tc>
        <w:tc>
          <w:tcPr>
            <w:tcW w:w="1208" w:type="dxa"/>
            <w:shd w:val="clear" w:color="auto" w:fill="E1CCF0"/>
          </w:tcPr>
          <w:p w14:paraId="56FF9C1D" w14:textId="77777777" w:rsidR="0073327C" w:rsidRPr="00EC0F5F" w:rsidRDefault="0073327C" w:rsidP="00475275">
            <w:pPr>
              <w:rPr>
                <w:rFonts w:ascii="Arial" w:hAnsi="Arial" w:cs="Arial"/>
                <w:color w:val="FF0000"/>
              </w:rPr>
            </w:pPr>
          </w:p>
        </w:tc>
        <w:tc>
          <w:tcPr>
            <w:tcW w:w="1208" w:type="dxa"/>
            <w:shd w:val="clear" w:color="auto" w:fill="E1CCF0"/>
          </w:tcPr>
          <w:p w14:paraId="2714E3FF" w14:textId="77777777" w:rsidR="0073327C" w:rsidRPr="00EC0F5F" w:rsidRDefault="0073327C" w:rsidP="00475275">
            <w:pPr>
              <w:rPr>
                <w:rFonts w:ascii="Arial" w:hAnsi="Arial" w:cs="Arial"/>
                <w:color w:val="FF0000"/>
              </w:rPr>
            </w:pPr>
          </w:p>
        </w:tc>
        <w:tc>
          <w:tcPr>
            <w:tcW w:w="1208" w:type="dxa"/>
            <w:shd w:val="clear" w:color="auto" w:fill="E1CCF0"/>
          </w:tcPr>
          <w:p w14:paraId="677B70D8" w14:textId="77777777" w:rsidR="0073327C" w:rsidRPr="00EC0F5F" w:rsidRDefault="0073327C" w:rsidP="00475275">
            <w:pPr>
              <w:rPr>
                <w:rFonts w:ascii="Arial" w:hAnsi="Arial" w:cs="Arial"/>
                <w:color w:val="FF0000"/>
              </w:rPr>
            </w:pPr>
            <w:r w:rsidRPr="00EC0F5F">
              <w:rPr>
                <w:rFonts w:ascii="Arial" w:hAnsi="Arial" w:cs="Arial"/>
              </w:rPr>
              <w:t>105.573</w:t>
            </w:r>
          </w:p>
        </w:tc>
        <w:tc>
          <w:tcPr>
            <w:tcW w:w="1208" w:type="dxa"/>
            <w:shd w:val="clear" w:color="auto" w:fill="E1CCF0"/>
          </w:tcPr>
          <w:p w14:paraId="05A50C0D" w14:textId="77777777" w:rsidR="0073327C" w:rsidRPr="00EC0F5F" w:rsidRDefault="0073327C" w:rsidP="00475275">
            <w:pPr>
              <w:rPr>
                <w:rFonts w:ascii="Arial" w:hAnsi="Arial" w:cs="Arial"/>
                <w:color w:val="FF0000"/>
              </w:rPr>
            </w:pPr>
            <w:r w:rsidRPr="00EC0F5F">
              <w:rPr>
                <w:rFonts w:ascii="Arial" w:hAnsi="Arial" w:cs="Arial"/>
              </w:rPr>
              <w:t>12.163</w:t>
            </w:r>
          </w:p>
        </w:tc>
        <w:tc>
          <w:tcPr>
            <w:tcW w:w="1699" w:type="dxa"/>
            <w:shd w:val="clear" w:color="auto" w:fill="E1CCF0"/>
          </w:tcPr>
          <w:p w14:paraId="27CC12AF"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2 (56)</w:t>
            </w:r>
          </w:p>
        </w:tc>
        <w:tc>
          <w:tcPr>
            <w:tcW w:w="1052" w:type="dxa"/>
            <w:shd w:val="clear" w:color="auto" w:fill="E1CCF0"/>
          </w:tcPr>
          <w:p w14:paraId="5AF593BF" w14:textId="77777777" w:rsidR="0073327C" w:rsidRPr="00EC0F5F" w:rsidRDefault="0073327C" w:rsidP="00475275">
            <w:pPr>
              <w:rPr>
                <w:rFonts w:ascii="Arial" w:hAnsi="Arial" w:cs="Arial"/>
                <w:color w:val="FF0000"/>
              </w:rPr>
            </w:pPr>
            <w:r w:rsidRPr="00EC0F5F">
              <w:rPr>
                <w:rFonts w:ascii="Arial" w:hAnsi="Arial" w:cs="Arial"/>
              </w:rPr>
              <w:t>117.736</w:t>
            </w:r>
          </w:p>
        </w:tc>
      </w:tr>
      <w:tr w:rsidR="00DD6188" w:rsidRPr="00EC0F5F" w14:paraId="466D6B86" w14:textId="77777777" w:rsidTr="00C411D6">
        <w:trPr>
          <w:trHeight w:val="344"/>
        </w:trPr>
        <w:tc>
          <w:tcPr>
            <w:tcW w:w="1208" w:type="dxa"/>
            <w:shd w:val="clear" w:color="auto" w:fill="E1CCF0"/>
          </w:tcPr>
          <w:p w14:paraId="087F0B35" w14:textId="77777777" w:rsidR="0073327C" w:rsidRPr="00EC0F5F" w:rsidRDefault="0073327C" w:rsidP="00475275">
            <w:pPr>
              <w:rPr>
                <w:rFonts w:ascii="Arial" w:hAnsi="Arial" w:cs="Arial"/>
                <w:b/>
                <w:bCs/>
              </w:rPr>
            </w:pPr>
            <w:r w:rsidRPr="00EC0F5F">
              <w:rPr>
                <w:rFonts w:ascii="Arial" w:hAnsi="Arial" w:cs="Arial"/>
                <w:b/>
                <w:bCs/>
              </w:rPr>
              <w:t>2028/29</w:t>
            </w:r>
          </w:p>
        </w:tc>
        <w:tc>
          <w:tcPr>
            <w:tcW w:w="1266" w:type="dxa"/>
            <w:shd w:val="clear" w:color="auto" w:fill="E1CCF0"/>
          </w:tcPr>
          <w:p w14:paraId="0CDDB484"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3062F1A3" w14:textId="77777777" w:rsidR="0073327C" w:rsidRPr="00EC0F5F" w:rsidRDefault="0073327C" w:rsidP="00475275">
            <w:pPr>
              <w:rPr>
                <w:rFonts w:ascii="Arial" w:hAnsi="Arial" w:cs="Arial"/>
                <w:color w:val="FF0000"/>
              </w:rPr>
            </w:pPr>
          </w:p>
        </w:tc>
        <w:tc>
          <w:tcPr>
            <w:tcW w:w="1208" w:type="dxa"/>
            <w:shd w:val="clear" w:color="auto" w:fill="E1CCF0"/>
          </w:tcPr>
          <w:p w14:paraId="5EDCD134" w14:textId="77777777" w:rsidR="0073327C" w:rsidRPr="00EC0F5F" w:rsidRDefault="0073327C" w:rsidP="00475275">
            <w:pPr>
              <w:rPr>
                <w:rFonts w:ascii="Arial" w:hAnsi="Arial" w:cs="Arial"/>
                <w:color w:val="FF0000"/>
              </w:rPr>
            </w:pPr>
          </w:p>
        </w:tc>
        <w:tc>
          <w:tcPr>
            <w:tcW w:w="1208" w:type="dxa"/>
            <w:shd w:val="clear" w:color="auto" w:fill="E1CCF0"/>
          </w:tcPr>
          <w:p w14:paraId="5852B3AC" w14:textId="77777777" w:rsidR="0073327C" w:rsidRPr="00EC0F5F" w:rsidRDefault="0073327C" w:rsidP="00475275">
            <w:pPr>
              <w:rPr>
                <w:rFonts w:ascii="Arial" w:hAnsi="Arial" w:cs="Arial"/>
                <w:color w:val="FF0000"/>
              </w:rPr>
            </w:pPr>
          </w:p>
        </w:tc>
        <w:tc>
          <w:tcPr>
            <w:tcW w:w="1208" w:type="dxa"/>
            <w:shd w:val="clear" w:color="auto" w:fill="E1CCF0"/>
          </w:tcPr>
          <w:p w14:paraId="77C3AA05" w14:textId="77777777" w:rsidR="0073327C" w:rsidRPr="00EC0F5F" w:rsidRDefault="0073327C" w:rsidP="00475275">
            <w:pPr>
              <w:rPr>
                <w:rFonts w:ascii="Arial" w:hAnsi="Arial" w:cs="Arial"/>
                <w:color w:val="FF0000"/>
              </w:rPr>
            </w:pPr>
          </w:p>
        </w:tc>
        <w:tc>
          <w:tcPr>
            <w:tcW w:w="1208" w:type="dxa"/>
            <w:shd w:val="clear" w:color="auto" w:fill="E1CCF0"/>
          </w:tcPr>
          <w:p w14:paraId="285E682C" w14:textId="77777777" w:rsidR="0073327C" w:rsidRPr="00EC0F5F" w:rsidRDefault="0073327C" w:rsidP="00475275">
            <w:pPr>
              <w:rPr>
                <w:rFonts w:ascii="Arial" w:hAnsi="Arial" w:cs="Arial"/>
                <w:color w:val="FF0000"/>
              </w:rPr>
            </w:pPr>
            <w:r w:rsidRPr="00EC0F5F">
              <w:rPr>
                <w:rFonts w:ascii="Arial" w:hAnsi="Arial" w:cs="Arial"/>
              </w:rPr>
              <w:t>105.573</w:t>
            </w:r>
          </w:p>
        </w:tc>
        <w:tc>
          <w:tcPr>
            <w:tcW w:w="1699" w:type="dxa"/>
            <w:shd w:val="clear" w:color="auto" w:fill="E1CCF0"/>
          </w:tcPr>
          <w:p w14:paraId="48CF1841"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2 (51)</w:t>
            </w:r>
          </w:p>
        </w:tc>
        <w:tc>
          <w:tcPr>
            <w:tcW w:w="1052" w:type="dxa"/>
            <w:shd w:val="clear" w:color="auto" w:fill="E1CCF0"/>
          </w:tcPr>
          <w:p w14:paraId="4BE25F43" w14:textId="77777777" w:rsidR="0073327C" w:rsidRPr="00EC0F5F" w:rsidRDefault="0073327C" w:rsidP="00475275">
            <w:pPr>
              <w:rPr>
                <w:rFonts w:ascii="Arial" w:hAnsi="Arial" w:cs="Arial"/>
                <w:color w:val="FF0000"/>
              </w:rPr>
            </w:pPr>
            <w:r w:rsidRPr="00EC0F5F">
              <w:rPr>
                <w:rFonts w:ascii="Arial" w:hAnsi="Arial" w:cs="Arial"/>
              </w:rPr>
              <w:t>105.573</w:t>
            </w:r>
          </w:p>
        </w:tc>
      </w:tr>
      <w:tr w:rsidR="00DD6188" w:rsidRPr="00EC0F5F" w14:paraId="7115F559" w14:textId="77777777" w:rsidTr="00C411D6">
        <w:trPr>
          <w:trHeight w:val="333"/>
        </w:trPr>
        <w:tc>
          <w:tcPr>
            <w:tcW w:w="1208" w:type="dxa"/>
            <w:shd w:val="clear" w:color="auto" w:fill="E1CCF0"/>
          </w:tcPr>
          <w:p w14:paraId="6EC2D9E1" w14:textId="77777777" w:rsidR="0073327C" w:rsidRPr="00EC0F5F" w:rsidRDefault="0073327C" w:rsidP="00475275">
            <w:pPr>
              <w:rPr>
                <w:rFonts w:ascii="Arial" w:hAnsi="Arial" w:cs="Arial"/>
                <w:b/>
                <w:bCs/>
                <w:color w:val="FF0000"/>
              </w:rPr>
            </w:pPr>
            <w:r w:rsidRPr="00EC0F5F">
              <w:rPr>
                <w:rFonts w:ascii="Arial" w:hAnsi="Arial" w:cs="Arial"/>
                <w:b/>
                <w:bCs/>
                <w:color w:val="000000" w:themeColor="text1"/>
              </w:rPr>
              <w:t>Totals</w:t>
            </w:r>
          </w:p>
        </w:tc>
        <w:tc>
          <w:tcPr>
            <w:tcW w:w="1266" w:type="dxa"/>
            <w:shd w:val="clear" w:color="auto" w:fill="E1CCF0"/>
          </w:tcPr>
          <w:p w14:paraId="442D83A6" w14:textId="77777777" w:rsidR="0073327C" w:rsidRPr="00EC0F5F" w:rsidRDefault="0073327C" w:rsidP="00475275">
            <w:pPr>
              <w:rPr>
                <w:rFonts w:ascii="Arial" w:hAnsi="Arial" w:cs="Arial"/>
                <w:b/>
                <w:bCs/>
                <w:color w:val="FF0000"/>
              </w:rPr>
            </w:pPr>
          </w:p>
        </w:tc>
        <w:tc>
          <w:tcPr>
            <w:tcW w:w="1208" w:type="dxa"/>
            <w:shd w:val="clear" w:color="auto" w:fill="E1CCF0"/>
          </w:tcPr>
          <w:p w14:paraId="21205B56" w14:textId="77777777" w:rsidR="0073327C" w:rsidRPr="00EC0F5F" w:rsidRDefault="0073327C" w:rsidP="00475275">
            <w:pPr>
              <w:rPr>
                <w:rFonts w:ascii="Arial" w:hAnsi="Arial" w:cs="Arial"/>
                <w:b/>
                <w:bCs/>
                <w:color w:val="FF0000"/>
              </w:rPr>
            </w:pPr>
            <w:r w:rsidRPr="00EC0F5F">
              <w:rPr>
                <w:rFonts w:ascii="Arial" w:hAnsi="Arial" w:cs="Arial"/>
              </w:rPr>
              <w:t>105.573</w:t>
            </w:r>
          </w:p>
        </w:tc>
        <w:tc>
          <w:tcPr>
            <w:tcW w:w="1208" w:type="dxa"/>
            <w:shd w:val="clear" w:color="auto" w:fill="E1CCF0"/>
          </w:tcPr>
          <w:p w14:paraId="715CB886" w14:textId="77777777" w:rsidR="0073327C" w:rsidRPr="00EC0F5F" w:rsidRDefault="0073327C" w:rsidP="00475275">
            <w:pPr>
              <w:rPr>
                <w:rFonts w:ascii="Arial" w:hAnsi="Arial" w:cs="Arial"/>
                <w:b/>
                <w:bCs/>
                <w:color w:val="FF0000"/>
              </w:rPr>
            </w:pPr>
            <w:r w:rsidRPr="00EC0F5F">
              <w:rPr>
                <w:rFonts w:ascii="Arial" w:hAnsi="Arial" w:cs="Arial"/>
              </w:rPr>
              <w:t>117.736</w:t>
            </w:r>
          </w:p>
        </w:tc>
        <w:tc>
          <w:tcPr>
            <w:tcW w:w="1208" w:type="dxa"/>
            <w:shd w:val="clear" w:color="auto" w:fill="E1CCF0"/>
          </w:tcPr>
          <w:p w14:paraId="0D1FD50F" w14:textId="77777777" w:rsidR="0073327C" w:rsidRPr="00EC0F5F" w:rsidRDefault="0073327C" w:rsidP="00475275">
            <w:pPr>
              <w:rPr>
                <w:rFonts w:ascii="Arial" w:hAnsi="Arial" w:cs="Arial"/>
                <w:b/>
                <w:bCs/>
                <w:color w:val="FF0000"/>
              </w:rPr>
            </w:pPr>
            <w:r w:rsidRPr="00EC0F5F">
              <w:rPr>
                <w:rFonts w:ascii="Arial" w:hAnsi="Arial" w:cs="Arial"/>
              </w:rPr>
              <w:t>129.899</w:t>
            </w:r>
          </w:p>
        </w:tc>
        <w:tc>
          <w:tcPr>
            <w:tcW w:w="1208" w:type="dxa"/>
            <w:shd w:val="clear" w:color="auto" w:fill="E1CCF0"/>
          </w:tcPr>
          <w:p w14:paraId="193D54FA" w14:textId="77777777" w:rsidR="0073327C" w:rsidRPr="00EC0F5F" w:rsidRDefault="0073327C" w:rsidP="00475275">
            <w:pPr>
              <w:rPr>
                <w:rFonts w:ascii="Arial" w:hAnsi="Arial" w:cs="Arial"/>
                <w:b/>
                <w:bCs/>
                <w:color w:val="FF0000"/>
              </w:rPr>
            </w:pPr>
            <w:r w:rsidRPr="00EC0F5F">
              <w:rPr>
                <w:rFonts w:ascii="Arial" w:hAnsi="Arial" w:cs="Arial"/>
              </w:rPr>
              <w:t>133.304</w:t>
            </w:r>
          </w:p>
        </w:tc>
        <w:tc>
          <w:tcPr>
            <w:tcW w:w="1208" w:type="dxa"/>
            <w:shd w:val="clear" w:color="auto" w:fill="E1CCF0"/>
          </w:tcPr>
          <w:p w14:paraId="60F1BAF5" w14:textId="77777777" w:rsidR="0073327C" w:rsidRPr="00EC0F5F" w:rsidRDefault="0073327C" w:rsidP="00475275">
            <w:pPr>
              <w:rPr>
                <w:rFonts w:ascii="Arial" w:hAnsi="Arial" w:cs="Arial"/>
                <w:b/>
                <w:bCs/>
                <w:color w:val="FF0000"/>
              </w:rPr>
            </w:pPr>
            <w:r w:rsidRPr="00EC0F5F">
              <w:rPr>
                <w:rFonts w:ascii="Arial" w:hAnsi="Arial" w:cs="Arial"/>
              </w:rPr>
              <w:t>137.196</w:t>
            </w:r>
          </w:p>
        </w:tc>
        <w:tc>
          <w:tcPr>
            <w:tcW w:w="1699" w:type="dxa"/>
            <w:shd w:val="clear" w:color="auto" w:fill="E1CCF0"/>
          </w:tcPr>
          <w:p w14:paraId="349E356D" w14:textId="77777777" w:rsidR="0073327C" w:rsidRPr="00EC0F5F" w:rsidRDefault="0073327C" w:rsidP="00475275">
            <w:pPr>
              <w:rPr>
                <w:rFonts w:ascii="Arial" w:hAnsi="Arial" w:cs="Arial"/>
                <w:b/>
                <w:bCs/>
                <w:color w:val="FF0000"/>
              </w:rPr>
            </w:pPr>
          </w:p>
        </w:tc>
        <w:tc>
          <w:tcPr>
            <w:tcW w:w="1052" w:type="dxa"/>
            <w:shd w:val="clear" w:color="auto" w:fill="E1CCF0"/>
          </w:tcPr>
          <w:p w14:paraId="34746A12" w14:textId="77777777" w:rsidR="0073327C" w:rsidRPr="00EC0F5F" w:rsidRDefault="0073327C" w:rsidP="00475275">
            <w:pPr>
              <w:rPr>
                <w:rFonts w:ascii="Arial" w:hAnsi="Arial" w:cs="Arial"/>
                <w:b/>
                <w:bCs/>
                <w:color w:val="FF0000"/>
              </w:rPr>
            </w:pPr>
            <w:r w:rsidRPr="00EC0F5F">
              <w:rPr>
                <w:rFonts w:ascii="Arial" w:hAnsi="Arial" w:cs="Arial"/>
              </w:rPr>
              <w:t>623.708</w:t>
            </w:r>
          </w:p>
        </w:tc>
      </w:tr>
    </w:tbl>
    <w:p w14:paraId="72725C1A" w14:textId="77777777" w:rsidR="0073327C" w:rsidRPr="00C629AB" w:rsidRDefault="0073327C" w:rsidP="0073327C">
      <w:pPr>
        <w:pStyle w:val="Default"/>
        <w:jc w:val="both"/>
        <w:rPr>
          <w:color w:val="FF0000"/>
        </w:rPr>
      </w:pPr>
    </w:p>
    <w:p w14:paraId="5547DC55" w14:textId="6D9A60CE" w:rsidR="0073327C" w:rsidRPr="00C629AB" w:rsidRDefault="0073327C" w:rsidP="00EC0F5F">
      <w:pPr>
        <w:pStyle w:val="Proofpara"/>
      </w:pPr>
      <w:r w:rsidRPr="00C629AB">
        <w:t xml:space="preserve">Calculating the number of windfall outline planning permissions on new sites is determined by analysis of the number of completions associated with outline planning permissions completed in the last five years.  </w:t>
      </w:r>
      <w:r w:rsidRPr="00C629AB">
        <w:rPr>
          <w:rStyle w:val="normaltextrun"/>
          <w:rFonts w:cs="Arial"/>
          <w:szCs w:val="24"/>
          <w:shd w:val="clear" w:color="auto" w:fill="FFFFFF"/>
        </w:rPr>
        <w:t>For outline windfalls we assume a much lower total build out rate of 20%</w:t>
      </w:r>
      <w:r w:rsidR="00601200" w:rsidRPr="00C629AB">
        <w:rPr>
          <w:rStyle w:val="normaltextrun"/>
          <w:rFonts w:cs="Arial"/>
          <w:szCs w:val="24"/>
          <w:shd w:val="clear" w:color="auto" w:fill="FFFFFF"/>
        </w:rPr>
        <w:t xml:space="preserve"> is assumed</w:t>
      </w:r>
      <w:r w:rsidRPr="00C629AB">
        <w:rPr>
          <w:rStyle w:val="normaltextrun"/>
          <w:rFonts w:cs="Arial"/>
          <w:szCs w:val="24"/>
          <w:shd w:val="clear" w:color="auto" w:fill="FFFFFF"/>
        </w:rPr>
        <w:t>. </w:t>
      </w:r>
      <w:r w:rsidRPr="00C629AB">
        <w:rPr>
          <w:rStyle w:val="eop"/>
          <w:rFonts w:cs="Arial"/>
          <w:szCs w:val="24"/>
          <w:shd w:val="clear" w:color="auto" w:fill="FFFFFF"/>
        </w:rPr>
        <w:t xml:space="preserve"> This analysis is shown in table </w:t>
      </w:r>
      <w:r w:rsidR="00601200" w:rsidRPr="00C629AB">
        <w:rPr>
          <w:rStyle w:val="eop"/>
          <w:rFonts w:cs="Arial"/>
          <w:szCs w:val="24"/>
          <w:shd w:val="clear" w:color="auto" w:fill="FFFFFF"/>
        </w:rPr>
        <w:t xml:space="preserve">6 </w:t>
      </w:r>
      <w:r w:rsidRPr="00C629AB">
        <w:rPr>
          <w:rStyle w:val="eop"/>
          <w:rFonts w:cs="Arial"/>
          <w:szCs w:val="24"/>
          <w:shd w:val="clear" w:color="auto" w:fill="FFFFFF"/>
        </w:rPr>
        <w:t>below.</w:t>
      </w:r>
    </w:p>
    <w:p w14:paraId="66F719DC" w14:textId="77777777" w:rsidR="0073327C" w:rsidRPr="00C629AB" w:rsidRDefault="0073327C" w:rsidP="0073327C">
      <w:pPr>
        <w:ind w:firstLine="360"/>
        <w:rPr>
          <w:rFonts w:ascii="Arial" w:hAnsi="Arial" w:cs="Arial"/>
          <w:b/>
          <w:bCs/>
          <w:sz w:val="24"/>
          <w:szCs w:val="24"/>
        </w:rPr>
      </w:pPr>
      <w:r w:rsidRPr="00C629AB">
        <w:rPr>
          <w:rFonts w:ascii="Arial" w:hAnsi="Arial" w:cs="Arial"/>
          <w:b/>
          <w:bCs/>
          <w:sz w:val="24"/>
          <w:szCs w:val="24"/>
        </w:rPr>
        <w:t>Table 6: Windfall dwellings (Outline)</w:t>
      </w:r>
    </w:p>
    <w:tbl>
      <w:tblPr>
        <w:tblW w:w="4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6: Windfall dwellings (Outline)"/>
      </w:tblPr>
      <w:tblGrid>
        <w:gridCol w:w="3798"/>
        <w:gridCol w:w="4950"/>
      </w:tblGrid>
      <w:tr w:rsidR="0073327C" w:rsidRPr="00EC0F5F" w14:paraId="2E915834" w14:textId="77777777" w:rsidTr="00475275">
        <w:trPr>
          <w:trHeight w:val="304"/>
          <w:jc w:val="center"/>
        </w:trPr>
        <w:tc>
          <w:tcPr>
            <w:tcW w:w="2171" w:type="pct"/>
            <w:shd w:val="clear" w:color="auto" w:fill="E1CCF0"/>
            <w:noWrap/>
            <w:tcMar>
              <w:top w:w="28" w:type="dxa"/>
            </w:tcMar>
            <w:vAlign w:val="center"/>
            <w:hideMark/>
          </w:tcPr>
          <w:p w14:paraId="30A7EB68" w14:textId="77777777" w:rsidR="0073327C" w:rsidRPr="00EC0F5F" w:rsidRDefault="0073327C" w:rsidP="00475275">
            <w:pPr>
              <w:jc w:val="center"/>
              <w:rPr>
                <w:rFonts w:ascii="Arial" w:hAnsi="Arial" w:cs="Arial"/>
                <w:b/>
                <w:bCs/>
              </w:rPr>
            </w:pPr>
            <w:r w:rsidRPr="00EC0F5F">
              <w:rPr>
                <w:rFonts w:ascii="Arial" w:hAnsi="Arial" w:cs="Arial"/>
                <w:b/>
                <w:bCs/>
              </w:rPr>
              <w:t>Year Granted</w:t>
            </w:r>
          </w:p>
        </w:tc>
        <w:tc>
          <w:tcPr>
            <w:tcW w:w="2829" w:type="pct"/>
            <w:shd w:val="clear" w:color="auto" w:fill="E1CCF0"/>
            <w:noWrap/>
            <w:tcMar>
              <w:top w:w="28" w:type="dxa"/>
            </w:tcMar>
            <w:vAlign w:val="center"/>
            <w:hideMark/>
          </w:tcPr>
          <w:p w14:paraId="34FED07F" w14:textId="77777777" w:rsidR="0073327C" w:rsidRPr="00EC0F5F" w:rsidRDefault="0073327C" w:rsidP="00475275">
            <w:pPr>
              <w:jc w:val="center"/>
              <w:rPr>
                <w:rFonts w:ascii="Arial" w:hAnsi="Arial" w:cs="Arial"/>
                <w:b/>
                <w:bCs/>
              </w:rPr>
            </w:pPr>
            <w:r w:rsidRPr="00EC0F5F">
              <w:rPr>
                <w:rFonts w:ascii="Arial" w:hAnsi="Arial" w:cs="Arial"/>
                <w:b/>
                <w:bCs/>
              </w:rPr>
              <w:t>Windfall Dwellings</w:t>
            </w:r>
          </w:p>
        </w:tc>
      </w:tr>
      <w:tr w:rsidR="0073327C" w:rsidRPr="00EC0F5F" w14:paraId="1A91FFBC" w14:textId="77777777" w:rsidTr="00475275">
        <w:trPr>
          <w:trHeight w:val="417"/>
          <w:jc w:val="center"/>
        </w:trPr>
        <w:tc>
          <w:tcPr>
            <w:tcW w:w="2171" w:type="pct"/>
            <w:shd w:val="clear" w:color="auto" w:fill="E1CCF0"/>
            <w:tcMar>
              <w:top w:w="28" w:type="dxa"/>
            </w:tcMar>
            <w:vAlign w:val="center"/>
          </w:tcPr>
          <w:p w14:paraId="18F181FC" w14:textId="77777777" w:rsidR="0073327C" w:rsidRPr="00EC0F5F" w:rsidRDefault="0073327C" w:rsidP="00475275">
            <w:pPr>
              <w:jc w:val="center"/>
              <w:rPr>
                <w:rFonts w:ascii="Arial" w:hAnsi="Arial" w:cs="Arial"/>
              </w:rPr>
            </w:pPr>
            <w:r w:rsidRPr="00EC0F5F">
              <w:rPr>
                <w:rFonts w:ascii="Arial" w:hAnsi="Arial" w:cs="Arial"/>
              </w:rPr>
              <w:t>2019/20</w:t>
            </w:r>
          </w:p>
        </w:tc>
        <w:tc>
          <w:tcPr>
            <w:tcW w:w="2829" w:type="pct"/>
            <w:shd w:val="clear" w:color="auto" w:fill="E1CCF0"/>
            <w:tcMar>
              <w:top w:w="28" w:type="dxa"/>
            </w:tcMar>
            <w:vAlign w:val="center"/>
          </w:tcPr>
          <w:p w14:paraId="041451C7" w14:textId="77777777" w:rsidR="0073327C" w:rsidRPr="00EC0F5F" w:rsidRDefault="0073327C" w:rsidP="00475275">
            <w:pPr>
              <w:jc w:val="center"/>
              <w:rPr>
                <w:rFonts w:ascii="Arial" w:hAnsi="Arial" w:cs="Arial"/>
              </w:rPr>
            </w:pPr>
            <w:r w:rsidRPr="00EC0F5F">
              <w:rPr>
                <w:rFonts w:ascii="Arial" w:hAnsi="Arial" w:cs="Arial"/>
              </w:rPr>
              <w:t>15</w:t>
            </w:r>
          </w:p>
        </w:tc>
      </w:tr>
      <w:tr w:rsidR="0073327C" w:rsidRPr="00EC0F5F" w14:paraId="6FA214AC" w14:textId="77777777" w:rsidTr="00475275">
        <w:trPr>
          <w:trHeight w:val="304"/>
          <w:jc w:val="center"/>
        </w:trPr>
        <w:tc>
          <w:tcPr>
            <w:tcW w:w="2171" w:type="pct"/>
            <w:shd w:val="clear" w:color="auto" w:fill="E1CCF0"/>
            <w:tcMar>
              <w:top w:w="28" w:type="dxa"/>
            </w:tcMar>
            <w:vAlign w:val="center"/>
          </w:tcPr>
          <w:p w14:paraId="6E0C8ADD" w14:textId="77777777" w:rsidR="0073327C" w:rsidRPr="00EC0F5F" w:rsidRDefault="0073327C" w:rsidP="00475275">
            <w:pPr>
              <w:jc w:val="center"/>
              <w:rPr>
                <w:rFonts w:ascii="Arial" w:hAnsi="Arial" w:cs="Arial"/>
              </w:rPr>
            </w:pPr>
            <w:r w:rsidRPr="00EC0F5F">
              <w:rPr>
                <w:rFonts w:ascii="Arial" w:hAnsi="Arial" w:cs="Arial"/>
              </w:rPr>
              <w:t>2020/21</w:t>
            </w:r>
          </w:p>
        </w:tc>
        <w:tc>
          <w:tcPr>
            <w:tcW w:w="2829" w:type="pct"/>
            <w:shd w:val="clear" w:color="auto" w:fill="E1CCF0"/>
            <w:tcMar>
              <w:top w:w="28" w:type="dxa"/>
            </w:tcMar>
            <w:vAlign w:val="center"/>
          </w:tcPr>
          <w:p w14:paraId="723829A2" w14:textId="77777777" w:rsidR="0073327C" w:rsidRPr="00EC0F5F" w:rsidRDefault="0073327C" w:rsidP="00475275">
            <w:pPr>
              <w:jc w:val="center"/>
              <w:rPr>
                <w:rFonts w:ascii="Arial" w:hAnsi="Arial" w:cs="Arial"/>
              </w:rPr>
            </w:pPr>
            <w:r w:rsidRPr="00EC0F5F">
              <w:rPr>
                <w:rFonts w:ascii="Arial" w:hAnsi="Arial" w:cs="Arial"/>
              </w:rPr>
              <w:t>10</w:t>
            </w:r>
          </w:p>
        </w:tc>
      </w:tr>
      <w:tr w:rsidR="0073327C" w:rsidRPr="00EC0F5F" w14:paraId="17949260" w14:textId="77777777" w:rsidTr="00475275">
        <w:trPr>
          <w:trHeight w:val="304"/>
          <w:jc w:val="center"/>
        </w:trPr>
        <w:tc>
          <w:tcPr>
            <w:tcW w:w="2171" w:type="pct"/>
            <w:shd w:val="clear" w:color="auto" w:fill="E1CCF0"/>
            <w:tcMar>
              <w:top w:w="28" w:type="dxa"/>
            </w:tcMar>
            <w:vAlign w:val="center"/>
          </w:tcPr>
          <w:p w14:paraId="38000F2F" w14:textId="77777777" w:rsidR="0073327C" w:rsidRPr="00EC0F5F" w:rsidRDefault="0073327C" w:rsidP="00475275">
            <w:pPr>
              <w:jc w:val="center"/>
              <w:rPr>
                <w:rFonts w:ascii="Arial" w:hAnsi="Arial" w:cs="Arial"/>
              </w:rPr>
            </w:pPr>
            <w:r w:rsidRPr="00EC0F5F">
              <w:rPr>
                <w:rFonts w:ascii="Arial" w:hAnsi="Arial" w:cs="Arial"/>
              </w:rPr>
              <w:t>2021/22</w:t>
            </w:r>
          </w:p>
        </w:tc>
        <w:tc>
          <w:tcPr>
            <w:tcW w:w="2829" w:type="pct"/>
            <w:shd w:val="clear" w:color="auto" w:fill="E1CCF0"/>
            <w:tcMar>
              <w:top w:w="28" w:type="dxa"/>
            </w:tcMar>
            <w:vAlign w:val="center"/>
          </w:tcPr>
          <w:p w14:paraId="75534BEC" w14:textId="77777777" w:rsidR="0073327C" w:rsidRPr="00EC0F5F" w:rsidRDefault="0073327C" w:rsidP="00475275">
            <w:pPr>
              <w:jc w:val="center"/>
              <w:rPr>
                <w:rFonts w:ascii="Arial" w:hAnsi="Arial" w:cs="Arial"/>
              </w:rPr>
            </w:pPr>
            <w:r w:rsidRPr="00EC0F5F">
              <w:rPr>
                <w:rFonts w:ascii="Arial" w:hAnsi="Arial" w:cs="Arial"/>
              </w:rPr>
              <w:t>2</w:t>
            </w:r>
          </w:p>
        </w:tc>
      </w:tr>
      <w:tr w:rsidR="0073327C" w:rsidRPr="00EC0F5F" w14:paraId="0C04737B" w14:textId="77777777" w:rsidTr="00475275">
        <w:trPr>
          <w:trHeight w:val="304"/>
          <w:jc w:val="center"/>
        </w:trPr>
        <w:tc>
          <w:tcPr>
            <w:tcW w:w="2171" w:type="pct"/>
            <w:shd w:val="clear" w:color="auto" w:fill="E1CCF0"/>
            <w:tcMar>
              <w:top w:w="28" w:type="dxa"/>
            </w:tcMar>
            <w:vAlign w:val="center"/>
          </w:tcPr>
          <w:p w14:paraId="39C0273F" w14:textId="77777777" w:rsidR="0073327C" w:rsidRPr="00EC0F5F" w:rsidRDefault="0073327C" w:rsidP="00475275">
            <w:pPr>
              <w:jc w:val="center"/>
              <w:rPr>
                <w:rFonts w:ascii="Arial" w:hAnsi="Arial" w:cs="Arial"/>
              </w:rPr>
            </w:pPr>
            <w:r w:rsidRPr="00EC0F5F">
              <w:rPr>
                <w:rFonts w:ascii="Arial" w:hAnsi="Arial" w:cs="Arial"/>
              </w:rPr>
              <w:t>2022/23</w:t>
            </w:r>
          </w:p>
        </w:tc>
        <w:tc>
          <w:tcPr>
            <w:tcW w:w="2829" w:type="pct"/>
            <w:shd w:val="clear" w:color="auto" w:fill="E1CCF0"/>
            <w:tcMar>
              <w:top w:w="28" w:type="dxa"/>
            </w:tcMar>
            <w:vAlign w:val="center"/>
          </w:tcPr>
          <w:p w14:paraId="1BAE6279" w14:textId="77777777" w:rsidR="0073327C" w:rsidRPr="00EC0F5F" w:rsidRDefault="0073327C" w:rsidP="00475275">
            <w:pPr>
              <w:jc w:val="center"/>
              <w:rPr>
                <w:rFonts w:ascii="Arial" w:hAnsi="Arial" w:cs="Arial"/>
              </w:rPr>
            </w:pPr>
            <w:r w:rsidRPr="00EC0F5F">
              <w:rPr>
                <w:rFonts w:ascii="Arial" w:hAnsi="Arial" w:cs="Arial"/>
              </w:rPr>
              <w:t>3</w:t>
            </w:r>
          </w:p>
        </w:tc>
      </w:tr>
      <w:tr w:rsidR="0073327C" w:rsidRPr="00EC0F5F" w14:paraId="47E80BB8" w14:textId="77777777" w:rsidTr="00475275">
        <w:trPr>
          <w:trHeight w:val="304"/>
          <w:jc w:val="center"/>
        </w:trPr>
        <w:tc>
          <w:tcPr>
            <w:tcW w:w="2171" w:type="pct"/>
            <w:shd w:val="clear" w:color="auto" w:fill="E1CCF0"/>
            <w:tcMar>
              <w:top w:w="28" w:type="dxa"/>
            </w:tcMar>
            <w:vAlign w:val="center"/>
          </w:tcPr>
          <w:p w14:paraId="21CF0004" w14:textId="77777777" w:rsidR="0073327C" w:rsidRPr="00EC0F5F" w:rsidRDefault="0073327C" w:rsidP="00475275">
            <w:pPr>
              <w:jc w:val="center"/>
              <w:rPr>
                <w:rFonts w:ascii="Arial" w:hAnsi="Arial" w:cs="Arial"/>
              </w:rPr>
            </w:pPr>
            <w:r w:rsidRPr="00EC0F5F">
              <w:rPr>
                <w:rFonts w:ascii="Arial" w:hAnsi="Arial" w:cs="Arial"/>
              </w:rPr>
              <w:t>2023/24</w:t>
            </w:r>
          </w:p>
        </w:tc>
        <w:tc>
          <w:tcPr>
            <w:tcW w:w="2829" w:type="pct"/>
            <w:shd w:val="clear" w:color="auto" w:fill="E1CCF0"/>
            <w:tcMar>
              <w:top w:w="28" w:type="dxa"/>
            </w:tcMar>
            <w:vAlign w:val="center"/>
          </w:tcPr>
          <w:p w14:paraId="1D405420" w14:textId="77777777" w:rsidR="0073327C" w:rsidRPr="00EC0F5F" w:rsidRDefault="0073327C" w:rsidP="00475275">
            <w:pPr>
              <w:jc w:val="center"/>
              <w:rPr>
                <w:rFonts w:ascii="Arial" w:hAnsi="Arial" w:cs="Arial"/>
              </w:rPr>
            </w:pPr>
            <w:r w:rsidRPr="00EC0F5F">
              <w:rPr>
                <w:rFonts w:ascii="Arial" w:hAnsi="Arial" w:cs="Arial"/>
              </w:rPr>
              <w:t>5</w:t>
            </w:r>
          </w:p>
        </w:tc>
      </w:tr>
      <w:tr w:rsidR="0073327C" w:rsidRPr="00EC0F5F" w14:paraId="411B3170" w14:textId="77777777" w:rsidTr="00475275">
        <w:trPr>
          <w:trHeight w:val="1125"/>
          <w:jc w:val="center"/>
        </w:trPr>
        <w:tc>
          <w:tcPr>
            <w:tcW w:w="5000" w:type="pct"/>
            <w:gridSpan w:val="2"/>
            <w:shd w:val="clear" w:color="auto" w:fill="E1CCF0"/>
            <w:tcMar>
              <w:top w:w="28" w:type="dxa"/>
            </w:tcMar>
            <w:vAlign w:val="center"/>
          </w:tcPr>
          <w:p w14:paraId="2C165F3F" w14:textId="77777777" w:rsidR="0073327C" w:rsidRPr="00EC0F5F" w:rsidRDefault="0073327C" w:rsidP="00475275">
            <w:pPr>
              <w:pStyle w:val="Default"/>
              <w:rPr>
                <w:b/>
                <w:bCs/>
                <w:color w:val="auto"/>
                <w:sz w:val="22"/>
                <w:szCs w:val="22"/>
              </w:rPr>
            </w:pPr>
            <w:r w:rsidRPr="00EC0F5F">
              <w:rPr>
                <w:b/>
                <w:bCs/>
                <w:color w:val="auto"/>
                <w:sz w:val="22"/>
                <w:szCs w:val="22"/>
              </w:rPr>
              <w:t xml:space="preserve">Average of the last five years outline permissions </w:t>
            </w:r>
          </w:p>
          <w:p w14:paraId="7150BFB6" w14:textId="77777777" w:rsidR="0073327C" w:rsidRPr="00EC0F5F" w:rsidRDefault="0073327C" w:rsidP="00475275">
            <w:pPr>
              <w:pStyle w:val="Default"/>
              <w:rPr>
                <w:color w:val="auto"/>
                <w:sz w:val="22"/>
                <w:szCs w:val="22"/>
              </w:rPr>
            </w:pPr>
            <w:r w:rsidRPr="00EC0F5F">
              <w:rPr>
                <w:color w:val="auto"/>
                <w:sz w:val="22"/>
                <w:szCs w:val="22"/>
              </w:rPr>
              <w:t>Total permissions in the last five years (2019/2024 to 2023/2024) = 35</w:t>
            </w:r>
          </w:p>
          <w:p w14:paraId="41D7A26D" w14:textId="77777777" w:rsidR="0073327C" w:rsidRPr="00EC0F5F" w:rsidRDefault="0073327C" w:rsidP="00475275">
            <w:pPr>
              <w:pStyle w:val="Default"/>
              <w:rPr>
                <w:color w:val="auto"/>
                <w:sz w:val="22"/>
                <w:szCs w:val="22"/>
              </w:rPr>
            </w:pPr>
          </w:p>
          <w:p w14:paraId="0D0CDA31" w14:textId="6FB08CDB" w:rsidR="0073327C" w:rsidRPr="00EC0F5F" w:rsidRDefault="0073327C" w:rsidP="00475275">
            <w:pPr>
              <w:pStyle w:val="Default"/>
              <w:rPr>
                <w:color w:val="auto"/>
                <w:sz w:val="22"/>
                <w:szCs w:val="22"/>
              </w:rPr>
            </w:pPr>
            <w:r w:rsidRPr="00EC0F5F">
              <w:rPr>
                <w:color w:val="auto"/>
                <w:sz w:val="22"/>
                <w:szCs w:val="22"/>
              </w:rPr>
              <w:t>110/5 = 7 average granted per annum</w:t>
            </w:r>
          </w:p>
        </w:tc>
      </w:tr>
    </w:tbl>
    <w:p w14:paraId="4B4472E6" w14:textId="77777777" w:rsidR="0073327C" w:rsidRPr="00C629AB" w:rsidRDefault="0073327C" w:rsidP="0073327C">
      <w:pPr>
        <w:pStyle w:val="Default"/>
        <w:jc w:val="both"/>
        <w:rPr>
          <w:color w:val="FF0000"/>
        </w:rPr>
      </w:pPr>
    </w:p>
    <w:p w14:paraId="1BF8B9E6" w14:textId="77777777" w:rsidR="0073327C" w:rsidRPr="00C629AB" w:rsidRDefault="0073327C" w:rsidP="00995462">
      <w:pPr>
        <w:pStyle w:val="Proofpara"/>
      </w:pPr>
      <w:r w:rsidRPr="00C629AB">
        <w:t xml:space="preserve">Based on the last 5 years data there would be an average of 7 granted per annum.  This gives a total of 35 dwellings over the five year period.  Assuming a much lower total build out rate of 20% this would give a figure of 7 dwellings.   </w:t>
      </w:r>
    </w:p>
    <w:p w14:paraId="42B93D29" w14:textId="7628319D" w:rsidR="00DC2CEE" w:rsidRPr="00C629AB" w:rsidRDefault="00DC2CEE" w:rsidP="00EC0F5F">
      <w:pPr>
        <w:pStyle w:val="Proofpara"/>
      </w:pPr>
      <w:r w:rsidRPr="00C629AB">
        <w:t xml:space="preserve">The total windfall allowance assumed for the 2024/25 to 2028/29 </w:t>
      </w:r>
      <w:bookmarkStart w:id="7" w:name="_Int_5mdBrKZt"/>
      <w:r w:rsidRPr="00C629AB">
        <w:t>five year</w:t>
      </w:r>
      <w:bookmarkEnd w:id="7"/>
      <w:r w:rsidRPr="00C629AB">
        <w:t xml:space="preserve"> period is therefore 631 dwellings</w:t>
      </w:r>
      <w:r w:rsidR="003F2342" w:rsidRPr="00C629AB">
        <w:t xml:space="preserve"> (634</w:t>
      </w:r>
      <w:r w:rsidR="00A70C1B" w:rsidRPr="00C629AB">
        <w:t xml:space="preserve"> full and reserved matters</w:t>
      </w:r>
      <w:r w:rsidR="001E3987" w:rsidRPr="00C629AB">
        <w:t xml:space="preserve"> + 7</w:t>
      </w:r>
      <w:r w:rsidR="0028331B" w:rsidRPr="00C629AB">
        <w:t xml:space="preserve"> </w:t>
      </w:r>
      <w:r w:rsidR="00555E38" w:rsidRPr="00C629AB">
        <w:t xml:space="preserve">outline windfall </w:t>
      </w:r>
      <w:r w:rsidR="0028331B" w:rsidRPr="00C629AB">
        <w:t>dwellings)</w:t>
      </w:r>
      <w:r w:rsidRPr="00C629AB">
        <w:t>.</w:t>
      </w:r>
    </w:p>
    <w:p w14:paraId="51D30269" w14:textId="77777777" w:rsidR="00363D7B" w:rsidRPr="00C629AB" w:rsidRDefault="00363D7B" w:rsidP="00363D7B">
      <w:pPr>
        <w:pStyle w:val="Proofpara"/>
        <w:numPr>
          <w:ilvl w:val="0"/>
          <w:numId w:val="0"/>
        </w:numPr>
        <w:rPr>
          <w:rFonts w:cs="Arial"/>
          <w:b/>
          <w:bCs/>
          <w:szCs w:val="24"/>
        </w:rPr>
      </w:pPr>
      <w:r w:rsidRPr="00C629AB">
        <w:rPr>
          <w:rFonts w:cs="Arial"/>
          <w:b/>
          <w:bCs/>
          <w:szCs w:val="24"/>
        </w:rPr>
        <w:t>Losses</w:t>
      </w:r>
    </w:p>
    <w:p w14:paraId="41B90C69" w14:textId="77777777" w:rsidR="00FD1389" w:rsidRPr="00C629AB" w:rsidRDefault="00363D7B" w:rsidP="00EC0F5F">
      <w:pPr>
        <w:pStyle w:val="Proofpara"/>
      </w:pPr>
      <w:r w:rsidRPr="00C629AB">
        <w:rPr>
          <w:rStyle w:val="normaltextrun"/>
          <w:rFonts w:cs="Arial"/>
          <w:szCs w:val="24"/>
        </w:rPr>
        <w:t xml:space="preserve">Predicted losses are amended each year reflecting a rolling </w:t>
      </w:r>
      <w:bookmarkStart w:id="8" w:name="_Int_SznSEIQa"/>
      <w:r w:rsidRPr="00C629AB">
        <w:rPr>
          <w:rStyle w:val="normaltextrun"/>
          <w:rFonts w:cs="Arial"/>
          <w:szCs w:val="24"/>
        </w:rPr>
        <w:t>5 year</w:t>
      </w:r>
      <w:bookmarkEnd w:id="8"/>
      <w:r w:rsidRPr="00C629AB">
        <w:rPr>
          <w:rStyle w:val="normaltextrun"/>
          <w:rFonts w:cs="Arial"/>
          <w:szCs w:val="24"/>
        </w:rPr>
        <w:t xml:space="preserve"> average using the most recent past data </w:t>
      </w:r>
      <w:r w:rsidRPr="00C629AB">
        <w:t>to ensure robust and up to date</w:t>
      </w:r>
      <w:bookmarkStart w:id="9" w:name="_Int_GT6OagQX"/>
      <w:r w:rsidRPr="00C629AB">
        <w:t xml:space="preserve">.  </w:t>
      </w:r>
      <w:bookmarkEnd w:id="9"/>
      <w:r w:rsidRPr="00C629AB">
        <w:t xml:space="preserve">The </w:t>
      </w:r>
      <w:bookmarkStart w:id="10" w:name="_Int_v9x9Mrzz"/>
      <w:r w:rsidRPr="00C629AB">
        <w:t>average of</w:t>
      </w:r>
      <w:bookmarkEnd w:id="10"/>
      <w:r w:rsidRPr="00C629AB">
        <w:t xml:space="preserve"> losses is calculated from the last 5 years of the plan period set out in table 1. That gives a figure of 9 per annum which is then multiplied by 5.</w:t>
      </w:r>
      <w:bookmarkStart w:id="11" w:name="_Int_QCp44gf2"/>
      <w:bookmarkStart w:id="12" w:name="_Toc171407266"/>
    </w:p>
    <w:p w14:paraId="4FB8F4AA" w14:textId="77777777" w:rsidR="00511C4D" w:rsidRDefault="00511C4D" w:rsidP="00FD1389">
      <w:pPr>
        <w:pStyle w:val="Proofpara"/>
        <w:numPr>
          <w:ilvl w:val="0"/>
          <w:numId w:val="0"/>
        </w:numPr>
        <w:rPr>
          <w:rFonts w:cs="Arial"/>
          <w:b/>
          <w:bCs/>
          <w:sz w:val="28"/>
          <w:szCs w:val="28"/>
        </w:rPr>
      </w:pPr>
    </w:p>
    <w:p w14:paraId="08645A6E" w14:textId="1E481E23" w:rsidR="00FD1389" w:rsidRPr="00511C4D" w:rsidRDefault="00FD1389" w:rsidP="00344D18">
      <w:pPr>
        <w:pStyle w:val="Proofheading"/>
        <w:numPr>
          <w:ilvl w:val="0"/>
          <w:numId w:val="0"/>
        </w:numPr>
        <w:ind w:left="357" w:hanging="357"/>
      </w:pPr>
      <w:r w:rsidRPr="00511C4D">
        <w:t>Overall</w:t>
      </w:r>
      <w:bookmarkEnd w:id="11"/>
      <w:r w:rsidRPr="00511C4D">
        <w:t xml:space="preserve"> Five Year Housing Supply Conclusion</w:t>
      </w:r>
      <w:bookmarkEnd w:id="12"/>
      <w:r w:rsidRPr="00511C4D">
        <w:t xml:space="preserve"> </w:t>
      </w:r>
    </w:p>
    <w:p w14:paraId="0CEDD095" w14:textId="77777777" w:rsidR="00FD1389" w:rsidRPr="00C629AB" w:rsidRDefault="00FD1389" w:rsidP="00EC0F5F">
      <w:pPr>
        <w:pStyle w:val="Proofpara"/>
      </w:pPr>
      <w:r w:rsidRPr="00C629AB">
        <w:rPr>
          <w:noProof/>
        </w:rPr>
        <mc:AlternateContent>
          <mc:Choice Requires="wps">
            <w:drawing>
              <wp:anchor distT="45720" distB="45720" distL="114300" distR="114300" simplePos="0" relativeHeight="251659264" behindDoc="0" locked="0" layoutInCell="1" allowOverlap="1" wp14:anchorId="1A679476" wp14:editId="12B72C6A">
                <wp:simplePos x="0" y="0"/>
                <wp:positionH relativeFrom="margin">
                  <wp:align>center</wp:align>
                </wp:positionH>
                <wp:positionV relativeFrom="paragraph">
                  <wp:posOffset>569595</wp:posOffset>
                </wp:positionV>
                <wp:extent cx="6181725" cy="1404620"/>
                <wp:effectExtent l="0" t="0" r="9525" b="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E1CCF0"/>
                        </a:solidFill>
                        <a:ln w="9525">
                          <a:noFill/>
                          <a:miter lim="800000"/>
                          <a:headEnd/>
                          <a:tailEnd/>
                        </a:ln>
                      </wps:spPr>
                      <wps:txbx>
                        <w:txbxContent>
                          <w:p w14:paraId="0733C38E" w14:textId="77777777" w:rsidR="00FD1389" w:rsidRPr="00FC34E4" w:rsidRDefault="00FD1389" w:rsidP="00FD1389">
                            <w:pPr>
                              <w:rPr>
                                <w:rFonts w:ascii="Arial" w:hAnsi="Arial" w:cs="Arial"/>
                                <w:b/>
                              </w:rPr>
                            </w:pPr>
                            <w:r w:rsidRPr="00FC34E4">
                              <w:rPr>
                                <w:rFonts w:ascii="Arial" w:hAnsi="Arial" w:cs="Arial"/>
                                <w:b/>
                              </w:rPr>
                              <w:t>Box 1: Barnsley’s Five Year Housing Supply Position for the period 2024/25 to 2028/29</w:t>
                            </w:r>
                          </w:p>
                          <w:p w14:paraId="72C34F48" w14:textId="77777777" w:rsidR="00797454" w:rsidRPr="00FC34E4" w:rsidRDefault="00797454" w:rsidP="00797454">
                            <w:pPr>
                              <w:rPr>
                                <w:rFonts w:ascii="Arial" w:hAnsi="Arial" w:cs="Arial"/>
                                <w:b/>
                              </w:rPr>
                            </w:pPr>
                            <w:r w:rsidRPr="00FC34E4">
                              <w:rPr>
                                <w:rFonts w:ascii="Arial" w:hAnsi="Arial" w:cs="Arial"/>
                                <w:b/>
                              </w:rPr>
                              <w:t>Barnsley’s Five Year Housing Supply Position for the period 2024/25 to 2028/29</w:t>
                            </w:r>
                          </w:p>
                          <w:p w14:paraId="49C5629C" w14:textId="77777777" w:rsidR="00797454" w:rsidRPr="00FC34E4" w:rsidRDefault="00797454" w:rsidP="00797454">
                            <w:pPr>
                              <w:jc w:val="both"/>
                              <w:rPr>
                                <w:rFonts w:ascii="Arial" w:hAnsi="Arial" w:cs="Arial"/>
                                <w:bCs/>
                              </w:rPr>
                            </w:pPr>
                            <w:r w:rsidRPr="00FC34E4">
                              <w:rPr>
                                <w:rFonts w:ascii="Arial" w:hAnsi="Arial" w:cs="Arial"/>
                                <w:bCs/>
                              </w:rPr>
                              <w:t>Five year net housing requirement = 9215 dwellings</w:t>
                            </w:r>
                          </w:p>
                          <w:p w14:paraId="3464D26A" w14:textId="77777777" w:rsidR="00797454" w:rsidRPr="00FC34E4" w:rsidRDefault="00797454" w:rsidP="00797454">
                            <w:pPr>
                              <w:jc w:val="both"/>
                              <w:rPr>
                                <w:rFonts w:ascii="Arial" w:hAnsi="Arial" w:cs="Arial"/>
                                <w:bCs/>
                                <w:color w:val="000000" w:themeColor="text1"/>
                              </w:rPr>
                            </w:pPr>
                            <w:r w:rsidRPr="00FC34E4">
                              <w:rPr>
                                <w:rFonts w:ascii="Arial" w:hAnsi="Arial" w:cs="Arial"/>
                                <w:bCs/>
                                <w:color w:val="000000" w:themeColor="text1"/>
                              </w:rPr>
                              <w:t xml:space="preserve">Five Year deliverable net supply = </w:t>
                            </w:r>
                            <w:r w:rsidRPr="00FC34E4">
                              <w:rPr>
                                <w:rFonts w:ascii="Arial" w:hAnsi="Arial" w:cs="Arial"/>
                                <w:bCs/>
                              </w:rPr>
                              <w:t>5708</w:t>
                            </w:r>
                            <w:r w:rsidRPr="00FC34E4">
                              <w:rPr>
                                <w:rFonts w:ascii="Arial" w:hAnsi="Arial" w:cs="Arial"/>
                                <w:bCs/>
                                <w:color w:val="000000" w:themeColor="text1"/>
                              </w:rPr>
                              <w:t xml:space="preserve"> dwellings</w:t>
                            </w:r>
                          </w:p>
                          <w:p w14:paraId="478F7550" w14:textId="74A7E3AA" w:rsidR="00FD1389" w:rsidRPr="00FC34E4" w:rsidRDefault="00797454" w:rsidP="00797454">
                            <w:pPr>
                              <w:rPr>
                                <w:rFonts w:ascii="Arial" w:hAnsi="Arial" w:cs="Arial"/>
                                <w:bCs/>
                                <w:color w:val="FF0000"/>
                              </w:rPr>
                            </w:pPr>
                            <w:r w:rsidRPr="00FC34E4">
                              <w:rPr>
                                <w:rFonts w:ascii="Arial" w:hAnsi="Arial" w:cs="Arial"/>
                                <w:bCs/>
                                <w:color w:val="000000" w:themeColor="text1"/>
                              </w:rPr>
                              <w:t>In conclusion</w:t>
                            </w:r>
                            <w:r w:rsidRPr="00FC34E4">
                              <w:rPr>
                                <w:rFonts w:ascii="Arial" w:hAnsi="Arial" w:cs="Arial"/>
                                <w:bCs/>
                              </w:rPr>
                              <w:t>, 5708</w:t>
                            </w:r>
                            <w:r w:rsidRPr="00FC34E4">
                              <w:rPr>
                                <w:rFonts w:ascii="Arial" w:hAnsi="Arial" w:cs="Arial"/>
                                <w:bCs/>
                                <w:color w:val="FF0000"/>
                              </w:rPr>
                              <w:t xml:space="preserve"> </w:t>
                            </w:r>
                            <w:r w:rsidRPr="00FC34E4">
                              <w:rPr>
                                <w:rFonts w:ascii="Arial" w:hAnsi="Arial" w:cs="Arial"/>
                                <w:bCs/>
                                <w:color w:val="000000" w:themeColor="text1"/>
                              </w:rPr>
                              <w:t xml:space="preserve">net dwellings can be delivered against a requirement of 9215 net dwellings.  This equates to </w:t>
                            </w:r>
                            <w:r w:rsidRPr="00FC34E4">
                              <w:rPr>
                                <w:rFonts w:ascii="Arial" w:hAnsi="Arial" w:cs="Arial"/>
                                <w:bCs/>
                              </w:rPr>
                              <w:t xml:space="preserve">3.1 </w:t>
                            </w:r>
                            <w:r w:rsidRPr="00FC34E4">
                              <w:rPr>
                                <w:rFonts w:ascii="Arial" w:hAnsi="Arial" w:cs="Arial"/>
                                <w:bCs/>
                                <w:color w:val="000000" w:themeColor="text1"/>
                              </w:rPr>
                              <w:t xml:space="preserve">years supply.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79476" id="_x0000_t202" coordsize="21600,21600" o:spt="202" path="m,l,21600r21600,l21600,xe">
                <v:stroke joinstyle="miter"/>
                <v:path gradientshapeok="t" o:connecttype="rect"/>
              </v:shapetype>
              <v:shape id="Text Box 5" o:spid="_x0000_s1026" type="#_x0000_t202" alt="&quot;&quot;" style="position:absolute;left:0;text-align:left;margin-left:0;margin-top:44.85pt;width:486.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2hEQIAAPcDAAAOAAAAZHJzL2Uyb0RvYy54bWysU8Fu2zAMvQ/YPwi6L7aDJE2NOEWXNsOA&#10;rhvQ7QNkWY6FSaImKbGzrx8lJ2m23Yb5IJAm+UQ+Pq3uBq3IQTgvwVS0mOSUCMOhkWZX0W9ft++W&#10;lPjATMMUGFHRo/D0bv32zaq3pZhCB6oRjiCI8WVvK9qFYMss87wTmvkJWGEw2ILTLKDrdlnjWI/o&#10;WmXTPF9kPbjGOuDCe/z7MAbpOuG3reDhc9t6EYiqKPYW0unSWcczW69YuXPMdpKf2mD/0IVm0uCl&#10;F6gHFhjZO/kXlJbcgYc2TDjoDNpWcpFmwGmK/I9pXjpmRZoFyfH2QpP/f7D8+fBivzgShvcw4ALT&#10;EN4+Af/uiYFNx8xO3DsHfSdYgxcXkbKst748lUaqfekjSN1/ggaXzPYBEtDQOh1ZwTkJouMCjhfS&#10;xRAIx5+LYlncTOeUcIwVs3y2mKa1ZKw8l1vnwwcBmkSjog63muDZ4cmH2A4rzynxNg9KNlupVHLc&#10;rt4oRw4MFfBYbDbbM/pvacqQvqK3c2wkVhmI9UkcWgZUqJK6oss8fqNmIh2PpkkpgUk12tiJMid+&#10;IiUjOWGoB0yMPNXQHJEpB6MS8eWg0YH7SUmPKqyo/7FnTlCiPhpk+7aYzaJskzOb3yA1xF1H6usI&#10;MxyhKhooGc1NSFJPPNh73MpWJr5eOzn1iupKNJ5eQpTvtZ+yXt/r+hcAAAD//wMAUEsDBBQABgAI&#10;AAAAIQBPArKS3QAAAAcBAAAPAAAAZHJzL2Rvd25yZXYueG1sTI/NTsMwEITvSH0Ha5G4UaepIE3I&#10;pgKk3qjoH3c33iah8TqKnTa8PeZEj6MZzXyTL0fTigv1rrGMMJtGIIhLqxuuEA771eMChPOKtWot&#10;E8IPOVgWk7tcZdpeeUuXna9EKGGXKYTa+y6T0pU1GeWmtiMO3sn2Rvkg+0rqXl1DuWllHEXP0qiG&#10;w0KtOnqvqTzvBoNw4k11sHpYv5XxOvkcPr5XX/Ee8eF+fH0B4Wn0/2H4ww/oUASmox1YO9EihCMe&#10;YZEmIIKbJvMnEEeE+SxKQRa5vOUvfgEAAP//AwBQSwECLQAUAAYACAAAACEAtoM4kv4AAADhAQAA&#10;EwAAAAAAAAAAAAAAAAAAAAAAW0NvbnRlbnRfVHlwZXNdLnhtbFBLAQItABQABgAIAAAAIQA4/SH/&#10;1gAAAJQBAAALAAAAAAAAAAAAAAAAAC8BAABfcmVscy8ucmVsc1BLAQItABQABgAIAAAAIQABBi2h&#10;EQIAAPcDAAAOAAAAAAAAAAAAAAAAAC4CAABkcnMvZTJvRG9jLnhtbFBLAQItABQABgAIAAAAIQBP&#10;ArKS3QAAAAcBAAAPAAAAAAAAAAAAAAAAAGsEAABkcnMvZG93bnJldi54bWxQSwUGAAAAAAQABADz&#10;AAAAdQUAAAAA&#10;" fillcolor="#e1ccf0" stroked="f">
                <v:textbox style="mso-fit-shape-to-text:t">
                  <w:txbxContent>
                    <w:p w14:paraId="0733C38E" w14:textId="77777777" w:rsidR="00FD1389" w:rsidRPr="00FC34E4" w:rsidRDefault="00FD1389" w:rsidP="00FD1389">
                      <w:pPr>
                        <w:rPr>
                          <w:rFonts w:ascii="Arial" w:hAnsi="Arial" w:cs="Arial"/>
                          <w:b/>
                        </w:rPr>
                      </w:pPr>
                      <w:r w:rsidRPr="00FC34E4">
                        <w:rPr>
                          <w:rFonts w:ascii="Arial" w:hAnsi="Arial" w:cs="Arial"/>
                          <w:b/>
                        </w:rPr>
                        <w:t>Box 1: Barnsley’s Five Year Housing Supply Position for the period 2024/25 to 2028/29</w:t>
                      </w:r>
                    </w:p>
                    <w:p w14:paraId="72C34F48" w14:textId="77777777" w:rsidR="00797454" w:rsidRPr="00FC34E4" w:rsidRDefault="00797454" w:rsidP="00797454">
                      <w:pPr>
                        <w:rPr>
                          <w:rFonts w:ascii="Arial" w:hAnsi="Arial" w:cs="Arial"/>
                          <w:b/>
                        </w:rPr>
                      </w:pPr>
                      <w:r w:rsidRPr="00FC34E4">
                        <w:rPr>
                          <w:rFonts w:ascii="Arial" w:hAnsi="Arial" w:cs="Arial"/>
                          <w:b/>
                        </w:rPr>
                        <w:t>Barnsley’s Five Year Housing Supply Position for the period 2024/25 to 2028/29</w:t>
                      </w:r>
                    </w:p>
                    <w:p w14:paraId="49C5629C" w14:textId="77777777" w:rsidR="00797454" w:rsidRPr="00FC34E4" w:rsidRDefault="00797454" w:rsidP="00797454">
                      <w:pPr>
                        <w:jc w:val="both"/>
                        <w:rPr>
                          <w:rFonts w:ascii="Arial" w:hAnsi="Arial" w:cs="Arial"/>
                          <w:bCs/>
                        </w:rPr>
                      </w:pPr>
                      <w:r w:rsidRPr="00FC34E4">
                        <w:rPr>
                          <w:rFonts w:ascii="Arial" w:hAnsi="Arial" w:cs="Arial"/>
                          <w:bCs/>
                        </w:rPr>
                        <w:t>Five year net housing requirement = 9215 dwellings</w:t>
                      </w:r>
                    </w:p>
                    <w:p w14:paraId="3464D26A" w14:textId="77777777" w:rsidR="00797454" w:rsidRPr="00FC34E4" w:rsidRDefault="00797454" w:rsidP="00797454">
                      <w:pPr>
                        <w:jc w:val="both"/>
                        <w:rPr>
                          <w:rFonts w:ascii="Arial" w:hAnsi="Arial" w:cs="Arial"/>
                          <w:bCs/>
                          <w:color w:val="000000" w:themeColor="text1"/>
                        </w:rPr>
                      </w:pPr>
                      <w:r w:rsidRPr="00FC34E4">
                        <w:rPr>
                          <w:rFonts w:ascii="Arial" w:hAnsi="Arial" w:cs="Arial"/>
                          <w:bCs/>
                          <w:color w:val="000000" w:themeColor="text1"/>
                        </w:rPr>
                        <w:t xml:space="preserve">Five Year deliverable net supply = </w:t>
                      </w:r>
                      <w:r w:rsidRPr="00FC34E4">
                        <w:rPr>
                          <w:rFonts w:ascii="Arial" w:hAnsi="Arial" w:cs="Arial"/>
                          <w:bCs/>
                        </w:rPr>
                        <w:t>5708</w:t>
                      </w:r>
                      <w:r w:rsidRPr="00FC34E4">
                        <w:rPr>
                          <w:rFonts w:ascii="Arial" w:hAnsi="Arial" w:cs="Arial"/>
                          <w:bCs/>
                          <w:color w:val="000000" w:themeColor="text1"/>
                        </w:rPr>
                        <w:t xml:space="preserve"> dwellings</w:t>
                      </w:r>
                    </w:p>
                    <w:p w14:paraId="478F7550" w14:textId="74A7E3AA" w:rsidR="00FD1389" w:rsidRPr="00FC34E4" w:rsidRDefault="00797454" w:rsidP="00797454">
                      <w:pPr>
                        <w:rPr>
                          <w:rFonts w:ascii="Arial" w:hAnsi="Arial" w:cs="Arial"/>
                          <w:bCs/>
                          <w:color w:val="FF0000"/>
                        </w:rPr>
                      </w:pPr>
                      <w:r w:rsidRPr="00FC34E4">
                        <w:rPr>
                          <w:rFonts w:ascii="Arial" w:hAnsi="Arial" w:cs="Arial"/>
                          <w:bCs/>
                          <w:color w:val="000000" w:themeColor="text1"/>
                        </w:rPr>
                        <w:t>In conclusion</w:t>
                      </w:r>
                      <w:r w:rsidRPr="00FC34E4">
                        <w:rPr>
                          <w:rFonts w:ascii="Arial" w:hAnsi="Arial" w:cs="Arial"/>
                          <w:bCs/>
                        </w:rPr>
                        <w:t>, 5708</w:t>
                      </w:r>
                      <w:r w:rsidRPr="00FC34E4">
                        <w:rPr>
                          <w:rFonts w:ascii="Arial" w:hAnsi="Arial" w:cs="Arial"/>
                          <w:bCs/>
                          <w:color w:val="FF0000"/>
                        </w:rPr>
                        <w:t xml:space="preserve"> </w:t>
                      </w:r>
                      <w:r w:rsidRPr="00FC34E4">
                        <w:rPr>
                          <w:rFonts w:ascii="Arial" w:hAnsi="Arial" w:cs="Arial"/>
                          <w:bCs/>
                          <w:color w:val="000000" w:themeColor="text1"/>
                        </w:rPr>
                        <w:t xml:space="preserve">net dwellings can be delivered against a requirement of 9215 net dwellings.  This equates to </w:t>
                      </w:r>
                      <w:r w:rsidRPr="00FC34E4">
                        <w:rPr>
                          <w:rFonts w:ascii="Arial" w:hAnsi="Arial" w:cs="Arial"/>
                          <w:bCs/>
                        </w:rPr>
                        <w:t xml:space="preserve">3.1 </w:t>
                      </w:r>
                      <w:r w:rsidRPr="00FC34E4">
                        <w:rPr>
                          <w:rFonts w:ascii="Arial" w:hAnsi="Arial" w:cs="Arial"/>
                          <w:bCs/>
                          <w:color w:val="000000" w:themeColor="text1"/>
                        </w:rPr>
                        <w:t xml:space="preserve">years supply. </w:t>
                      </w:r>
                    </w:p>
                  </w:txbxContent>
                </v:textbox>
                <w10:wrap type="square" anchorx="margin"/>
              </v:shape>
            </w:pict>
          </mc:Fallback>
        </mc:AlternateContent>
      </w:r>
      <w:r w:rsidRPr="00C629AB">
        <w:t xml:space="preserve">The Councils overall conclusion on </w:t>
      </w:r>
      <w:bookmarkStart w:id="13" w:name="_Int_uDmERVTU"/>
      <w:r w:rsidRPr="00C629AB">
        <w:t>five year</w:t>
      </w:r>
      <w:bookmarkEnd w:id="13"/>
      <w:r w:rsidRPr="00C629AB">
        <w:t xml:space="preserve"> deliverable housing supply is set out in box 1 below.</w:t>
      </w:r>
    </w:p>
    <w:p w14:paraId="58FD7226" w14:textId="77777777" w:rsidR="00F437A7" w:rsidRPr="00C629AB" w:rsidRDefault="00F437A7" w:rsidP="00B41341">
      <w:pPr>
        <w:pStyle w:val="Proofpara"/>
        <w:numPr>
          <w:ilvl w:val="0"/>
          <w:numId w:val="0"/>
        </w:numPr>
        <w:rPr>
          <w:rStyle w:val="normaltextrun"/>
          <w:rFonts w:cs="Arial"/>
          <w:color w:val="000000"/>
          <w:szCs w:val="24"/>
          <w:shd w:val="clear" w:color="auto" w:fill="FFFFFF"/>
        </w:rPr>
      </w:pPr>
    </w:p>
    <w:p w14:paraId="5711D584" w14:textId="77777777" w:rsidR="0095355C" w:rsidRPr="00C629AB" w:rsidRDefault="0095355C" w:rsidP="00B41341">
      <w:pPr>
        <w:pStyle w:val="Proofpara"/>
        <w:numPr>
          <w:ilvl w:val="0"/>
          <w:numId w:val="0"/>
        </w:numPr>
        <w:rPr>
          <w:rStyle w:val="normaltextrun"/>
          <w:rFonts w:cs="Arial"/>
          <w:szCs w:val="24"/>
        </w:rPr>
        <w:sectPr w:rsidR="0095355C" w:rsidRPr="00C629AB" w:rsidSect="00B215F8">
          <w:pgSz w:w="12240" w:h="15840"/>
          <w:pgMar w:top="1440" w:right="1440" w:bottom="1440" w:left="1440" w:header="720" w:footer="720" w:gutter="0"/>
          <w:cols w:space="720"/>
          <w:docGrid w:linePitch="360"/>
        </w:sectPr>
      </w:pPr>
    </w:p>
    <w:p w14:paraId="3ABC226A" w14:textId="759D73C9" w:rsidR="005C4A8E" w:rsidRPr="00C629AB" w:rsidRDefault="005C4A8E" w:rsidP="005C4A8E">
      <w:pPr>
        <w:rPr>
          <w:rFonts w:ascii="Arial" w:hAnsi="Arial" w:cs="Arial"/>
          <w:b/>
          <w:bCs/>
          <w:sz w:val="24"/>
          <w:szCs w:val="24"/>
        </w:rPr>
      </w:pPr>
      <w:bookmarkStart w:id="14" w:name="_Toc171407268"/>
      <w:r w:rsidRPr="00C629AB">
        <w:rPr>
          <w:rFonts w:ascii="Arial" w:hAnsi="Arial" w:cs="Arial"/>
          <w:b/>
          <w:bCs/>
          <w:sz w:val="24"/>
          <w:szCs w:val="24"/>
        </w:rPr>
        <w:t>Appendix 1: Five year housing land supply delivery assumptions</w:t>
      </w:r>
      <w:bookmarkEnd w:id="14"/>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0684"/>
      </w:tblGrid>
      <w:tr w:rsidR="005C4A8E" w:rsidRPr="00511C4D" w14:paraId="3E4E06CC" w14:textId="77777777" w:rsidTr="00475275">
        <w:trPr>
          <w:trHeight w:val="300"/>
        </w:trPr>
        <w:tc>
          <w:tcPr>
            <w:tcW w:w="873" w:type="pct"/>
            <w:tcBorders>
              <w:top w:val="single" w:sz="6" w:space="0" w:color="auto"/>
              <w:left w:val="single" w:sz="6" w:space="0" w:color="auto"/>
              <w:bottom w:val="single" w:sz="6" w:space="0" w:color="auto"/>
              <w:right w:val="single" w:sz="6" w:space="0" w:color="auto"/>
            </w:tcBorders>
            <w:shd w:val="clear" w:color="auto" w:fill="auto"/>
            <w:hideMark/>
          </w:tcPr>
          <w:p w14:paraId="5E810EC7"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b/>
                <w:bCs/>
                <w:lang w:val="en-GB" w:eastAsia="en-GB"/>
              </w:rPr>
              <w:t>Assumptions</w:t>
            </w:r>
            <w:r w:rsidRPr="00511C4D">
              <w:rPr>
                <w:rFonts w:ascii="Arial" w:eastAsia="Times New Roman" w:hAnsi="Arial" w:cs="Arial"/>
                <w:lang w:val="en-GB" w:eastAsia="en-GB"/>
              </w:rPr>
              <w:t> </w:t>
            </w:r>
          </w:p>
        </w:tc>
        <w:tc>
          <w:tcPr>
            <w:tcW w:w="4127" w:type="pct"/>
            <w:tcBorders>
              <w:top w:val="single" w:sz="6" w:space="0" w:color="auto"/>
              <w:left w:val="single" w:sz="6" w:space="0" w:color="auto"/>
              <w:bottom w:val="single" w:sz="6" w:space="0" w:color="auto"/>
              <w:right w:val="single" w:sz="6" w:space="0" w:color="auto"/>
            </w:tcBorders>
            <w:shd w:val="clear" w:color="auto" w:fill="auto"/>
            <w:hideMark/>
          </w:tcPr>
          <w:p w14:paraId="1820D312"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tc>
      </w:tr>
      <w:tr w:rsidR="005C4A8E" w:rsidRPr="00511C4D" w14:paraId="5C466A1D" w14:textId="77777777" w:rsidTr="00475275">
        <w:trPr>
          <w:trHeight w:val="300"/>
        </w:trPr>
        <w:tc>
          <w:tcPr>
            <w:tcW w:w="873" w:type="pct"/>
            <w:tcBorders>
              <w:top w:val="single" w:sz="6" w:space="0" w:color="auto"/>
              <w:left w:val="single" w:sz="6" w:space="0" w:color="auto"/>
              <w:bottom w:val="single" w:sz="6" w:space="0" w:color="auto"/>
              <w:right w:val="single" w:sz="6" w:space="0" w:color="auto"/>
            </w:tcBorders>
            <w:shd w:val="clear" w:color="auto" w:fill="auto"/>
            <w:hideMark/>
          </w:tcPr>
          <w:p w14:paraId="52678EDC"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Delivery rates </w:t>
            </w:r>
          </w:p>
        </w:tc>
        <w:tc>
          <w:tcPr>
            <w:tcW w:w="4127" w:type="pct"/>
            <w:tcBorders>
              <w:top w:val="single" w:sz="6" w:space="0" w:color="auto"/>
              <w:left w:val="single" w:sz="6" w:space="0" w:color="auto"/>
              <w:bottom w:val="single" w:sz="6" w:space="0" w:color="auto"/>
              <w:right w:val="single" w:sz="6" w:space="0" w:color="auto"/>
            </w:tcBorders>
            <w:shd w:val="clear" w:color="auto" w:fill="auto"/>
            <w:hideMark/>
          </w:tcPr>
          <w:p w14:paraId="69E06416"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Starting point: sites below 20ha 45 dwellings per annum </w:t>
            </w:r>
          </w:p>
          <w:p w14:paraId="606C9BD9"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41A3B756"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Starting point: sites over 20ha likely to be built out by at least two developers 90 dwellings per annum. </w:t>
            </w:r>
          </w:p>
          <w:p w14:paraId="40BD4079"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375F40D1"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shd w:val="clear" w:color="auto" w:fill="FFFFFF"/>
                <w:lang w:eastAsia="en-GB"/>
              </w:rPr>
              <w:t xml:space="preserve">Higher build out rates have been assumed on some of the </w:t>
            </w:r>
            <w:bookmarkStart w:id="15" w:name="_Int_1UT0msRE"/>
            <w:r w:rsidRPr="00511C4D">
              <w:rPr>
                <w:rFonts w:ascii="Arial" w:eastAsia="Times New Roman" w:hAnsi="Arial" w:cs="Arial"/>
                <w:color w:val="000000"/>
                <w:shd w:val="clear" w:color="auto" w:fill="FFFFFF"/>
                <w:lang w:eastAsia="en-GB"/>
              </w:rPr>
              <w:t>mixed use</w:t>
            </w:r>
            <w:bookmarkEnd w:id="15"/>
            <w:r w:rsidRPr="00511C4D">
              <w:rPr>
                <w:rFonts w:ascii="Arial" w:eastAsia="Times New Roman" w:hAnsi="Arial" w:cs="Arial"/>
                <w:color w:val="000000"/>
                <w:shd w:val="clear" w:color="auto" w:fill="FFFFFF"/>
                <w:lang w:eastAsia="en-GB"/>
              </w:rPr>
              <w:t xml:space="preserve"> sites given they are larger in scale </w:t>
            </w:r>
            <w:r w:rsidRPr="00511C4D">
              <w:rPr>
                <w:rFonts w:ascii="Arial" w:eastAsia="Times New Roman" w:hAnsi="Arial" w:cs="Arial"/>
                <w:color w:val="000000"/>
                <w:lang w:val="en-GB" w:eastAsia="en-GB"/>
              </w:rPr>
              <w:t> </w:t>
            </w:r>
          </w:p>
        </w:tc>
      </w:tr>
      <w:tr w:rsidR="005C4A8E" w:rsidRPr="00511C4D" w14:paraId="100B80BD" w14:textId="77777777" w:rsidTr="00475275">
        <w:trPr>
          <w:trHeight w:val="300"/>
        </w:trPr>
        <w:tc>
          <w:tcPr>
            <w:tcW w:w="873" w:type="pct"/>
            <w:tcBorders>
              <w:top w:val="single" w:sz="6" w:space="0" w:color="auto"/>
              <w:left w:val="single" w:sz="6" w:space="0" w:color="auto"/>
              <w:bottom w:val="single" w:sz="6" w:space="0" w:color="auto"/>
              <w:right w:val="single" w:sz="6" w:space="0" w:color="auto"/>
            </w:tcBorders>
            <w:shd w:val="clear" w:color="auto" w:fill="auto"/>
            <w:hideMark/>
          </w:tcPr>
          <w:p w14:paraId="1461D2B9"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xml:space="preserve">Pre-build lead-in times </w:t>
            </w:r>
          </w:p>
        </w:tc>
        <w:tc>
          <w:tcPr>
            <w:tcW w:w="4127" w:type="pct"/>
            <w:tcBorders>
              <w:top w:val="single" w:sz="6" w:space="0" w:color="auto"/>
              <w:left w:val="single" w:sz="6" w:space="0" w:color="auto"/>
              <w:bottom w:val="single" w:sz="6" w:space="0" w:color="auto"/>
              <w:right w:val="single" w:sz="6" w:space="0" w:color="auto"/>
            </w:tcBorders>
            <w:shd w:val="clear" w:color="auto" w:fill="auto"/>
            <w:hideMark/>
          </w:tcPr>
          <w:p w14:paraId="07DDC42C"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val="en-GB" w:eastAsia="en-GB"/>
              </w:rPr>
              <w:t>Sites with full planning permission granted after 1 April 2014 will not deliver any dwellings until at least year 2 </w:t>
            </w:r>
            <w:r w:rsidRPr="00511C4D">
              <w:rPr>
                <w:rFonts w:ascii="Arial" w:eastAsia="Times New Roman" w:hAnsi="Arial" w:cs="Arial"/>
                <w:lang w:val="en-GB" w:eastAsia="en-GB"/>
              </w:rPr>
              <w:t>following grant of permission. </w:t>
            </w:r>
          </w:p>
          <w:p w14:paraId="61BB91F7"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val="en-GB" w:eastAsia="en-GB"/>
              </w:rPr>
              <w:t> </w:t>
            </w:r>
          </w:p>
          <w:p w14:paraId="73DBA398"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val="en-GB" w:eastAsia="en-GB"/>
              </w:rPr>
              <w:t>Sites with outline planning permission granted after 1 April 2014 or which are likely to be granted planning permission imminently will not deliver any dwellings until at least year 3 </w:t>
            </w:r>
            <w:r w:rsidRPr="00511C4D">
              <w:rPr>
                <w:rFonts w:ascii="Arial" w:eastAsia="Times New Roman" w:hAnsi="Arial" w:cs="Arial"/>
                <w:lang w:val="en-GB" w:eastAsia="en-GB"/>
              </w:rPr>
              <w:t>following grant of planning permission. </w:t>
            </w:r>
          </w:p>
          <w:p w14:paraId="4C1FE984"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7F4E4AFC"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val="en-GB" w:eastAsia="en-GB"/>
              </w:rPr>
              <w:t>Former Green Belt sites will not deliver any dwellings until at least year 3 following grant of planning permission.   </w:t>
            </w:r>
          </w:p>
          <w:p w14:paraId="799FA42C"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7C6A2B49"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themeColor="text1"/>
                <w:lang w:eastAsia="en-GB"/>
              </w:rPr>
              <w:t xml:space="preserve">Delivery </w:t>
            </w:r>
            <w:bookmarkStart w:id="16" w:name="_Int_sEVoexOG"/>
            <w:r w:rsidRPr="00511C4D">
              <w:rPr>
                <w:rFonts w:ascii="Arial" w:eastAsia="Times New Roman" w:hAnsi="Arial" w:cs="Arial"/>
                <w:color w:val="000000" w:themeColor="text1"/>
                <w:lang w:eastAsia="en-GB"/>
              </w:rPr>
              <w:t>on</w:t>
            </w:r>
            <w:bookmarkEnd w:id="16"/>
            <w:r w:rsidRPr="00511C4D">
              <w:rPr>
                <w:rFonts w:ascii="Arial" w:eastAsia="Times New Roman" w:hAnsi="Arial" w:cs="Arial"/>
                <w:color w:val="000000" w:themeColor="text1"/>
                <w:lang w:eastAsia="en-GB"/>
              </w:rPr>
              <w:t xml:space="preserve"> sites with extant planning permission is taken from research carried out as part of the </w:t>
            </w:r>
            <w:bookmarkStart w:id="17" w:name="_Int_rZXMhdsB"/>
            <w:r w:rsidRPr="00511C4D">
              <w:rPr>
                <w:rFonts w:ascii="Arial" w:eastAsia="Times New Roman" w:hAnsi="Arial" w:cs="Arial"/>
                <w:color w:val="000000" w:themeColor="text1"/>
                <w:lang w:eastAsia="en-GB"/>
              </w:rPr>
              <w:t>five year</w:t>
            </w:r>
            <w:bookmarkEnd w:id="17"/>
            <w:r w:rsidRPr="00511C4D">
              <w:rPr>
                <w:rFonts w:ascii="Arial" w:eastAsia="Times New Roman" w:hAnsi="Arial" w:cs="Arial"/>
                <w:color w:val="000000" w:themeColor="text1"/>
                <w:lang w:eastAsia="en-GB"/>
              </w:rPr>
              <w:t xml:space="preserve"> supply monitoring taking account of (average) site specific delivery rates, and units under construction as appropriate.</w:t>
            </w:r>
            <w:r w:rsidRPr="00511C4D">
              <w:rPr>
                <w:rFonts w:ascii="Arial" w:eastAsia="Times New Roman" w:hAnsi="Arial" w:cs="Arial"/>
                <w:color w:val="000000" w:themeColor="text1"/>
                <w:lang w:val="en-GB" w:eastAsia="en-GB"/>
              </w:rPr>
              <w:t> </w:t>
            </w:r>
          </w:p>
        </w:tc>
      </w:tr>
      <w:tr w:rsidR="005C4A8E" w:rsidRPr="00511C4D" w14:paraId="59078553" w14:textId="77777777" w:rsidTr="00475275">
        <w:trPr>
          <w:trHeight w:val="300"/>
        </w:trPr>
        <w:tc>
          <w:tcPr>
            <w:tcW w:w="873" w:type="pct"/>
            <w:tcBorders>
              <w:top w:val="single" w:sz="6" w:space="0" w:color="auto"/>
              <w:left w:val="single" w:sz="6" w:space="0" w:color="auto"/>
              <w:bottom w:val="single" w:sz="6" w:space="0" w:color="auto"/>
              <w:right w:val="single" w:sz="6" w:space="0" w:color="auto"/>
            </w:tcBorders>
            <w:shd w:val="clear" w:color="auto" w:fill="auto"/>
            <w:hideMark/>
          </w:tcPr>
          <w:p w14:paraId="245697D2"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eastAsia="en-GB"/>
              </w:rPr>
              <w:t>Non implementation rates</w:t>
            </w:r>
            <w:r w:rsidRPr="00511C4D">
              <w:rPr>
                <w:rFonts w:ascii="Arial" w:eastAsia="Times New Roman" w:hAnsi="Arial" w:cs="Arial"/>
                <w:color w:val="000000"/>
                <w:lang w:val="en-GB" w:eastAsia="en-GB"/>
              </w:rPr>
              <w:t> </w:t>
            </w:r>
          </w:p>
        </w:tc>
        <w:tc>
          <w:tcPr>
            <w:tcW w:w="4127" w:type="pct"/>
            <w:tcBorders>
              <w:top w:val="single" w:sz="6" w:space="0" w:color="auto"/>
              <w:left w:val="single" w:sz="6" w:space="0" w:color="auto"/>
              <w:bottom w:val="single" w:sz="6" w:space="0" w:color="auto"/>
              <w:right w:val="single" w:sz="6" w:space="0" w:color="auto"/>
            </w:tcBorders>
            <w:shd w:val="clear" w:color="auto" w:fill="auto"/>
            <w:hideMark/>
          </w:tcPr>
          <w:p w14:paraId="290B1FDE"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shd w:val="clear" w:color="auto" w:fill="FFFFFF"/>
                <w:lang w:eastAsia="en-GB"/>
              </w:rPr>
              <w:t>An evidentially derived discount (60% build out rate) for non-delivery is applied to small sites (under 10 dwellings)</w:t>
            </w:r>
            <w:r w:rsidRPr="00511C4D">
              <w:rPr>
                <w:rFonts w:ascii="Arial" w:eastAsia="Times New Roman" w:hAnsi="Arial" w:cs="Arial"/>
                <w:color w:val="000000"/>
                <w:lang w:val="en-GB" w:eastAsia="en-GB"/>
              </w:rPr>
              <w:t> </w:t>
            </w:r>
          </w:p>
          <w:p w14:paraId="2AD2538D"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61DC2223"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Lapsed permissions are removed at each update. </w:t>
            </w:r>
          </w:p>
          <w:p w14:paraId="5516715B"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tc>
      </w:tr>
    </w:tbl>
    <w:p w14:paraId="58934512" w14:textId="77777777" w:rsidR="005C4A8E" w:rsidRPr="00C629AB" w:rsidRDefault="005C4A8E" w:rsidP="005C4A8E">
      <w:pPr>
        <w:rPr>
          <w:rFonts w:ascii="Arial" w:hAnsi="Arial" w:cs="Arial"/>
          <w:sz w:val="24"/>
          <w:szCs w:val="24"/>
        </w:rPr>
      </w:pPr>
      <w:bookmarkStart w:id="18" w:name="_Toc171407270"/>
    </w:p>
    <w:p w14:paraId="67616521" w14:textId="1D82869D" w:rsidR="005C4A8E" w:rsidRPr="00C629AB" w:rsidRDefault="005C4A8E" w:rsidP="005C4A8E">
      <w:pPr>
        <w:rPr>
          <w:rFonts w:ascii="Arial" w:hAnsi="Arial" w:cs="Arial"/>
          <w:b/>
          <w:bCs/>
          <w:sz w:val="24"/>
          <w:szCs w:val="24"/>
        </w:rPr>
      </w:pPr>
      <w:r w:rsidRPr="00C629AB">
        <w:rPr>
          <w:rFonts w:ascii="Arial" w:hAnsi="Arial" w:cs="Arial"/>
          <w:b/>
          <w:bCs/>
          <w:sz w:val="24"/>
          <w:szCs w:val="24"/>
        </w:rPr>
        <w:t>Appendix 2: Housing Trajectory 2024 Update – Local Plan allocations</w:t>
      </w:r>
      <w:r w:rsidR="00AD1F25">
        <w:rPr>
          <w:rFonts w:ascii="Arial" w:hAnsi="Arial" w:cs="Arial"/>
          <w:b/>
          <w:bCs/>
          <w:sz w:val="24"/>
          <w:szCs w:val="24"/>
        </w:rPr>
        <w:t xml:space="preserve"> and </w:t>
      </w:r>
      <w:bookmarkStart w:id="19" w:name="_Int_BPhTlaXB"/>
      <w:r w:rsidR="00AD1F25">
        <w:rPr>
          <w:rFonts w:ascii="Arial" w:hAnsi="Arial" w:cs="Arial"/>
          <w:b/>
          <w:bCs/>
          <w:sz w:val="24"/>
          <w:szCs w:val="24"/>
        </w:rPr>
        <w:t>n</w:t>
      </w:r>
      <w:r w:rsidR="00AD1F25" w:rsidRPr="00C629AB">
        <w:rPr>
          <w:rFonts w:ascii="Arial" w:hAnsi="Arial" w:cs="Arial"/>
          <w:b/>
          <w:bCs/>
          <w:sz w:val="24"/>
          <w:szCs w:val="24"/>
        </w:rPr>
        <w:t>on allocated</w:t>
      </w:r>
      <w:bookmarkEnd w:id="19"/>
      <w:r w:rsidR="00AD1F25" w:rsidRPr="00C629AB">
        <w:rPr>
          <w:rFonts w:ascii="Arial" w:hAnsi="Arial" w:cs="Arial"/>
          <w:b/>
          <w:bCs/>
          <w:sz w:val="24"/>
          <w:szCs w:val="24"/>
        </w:rPr>
        <w:t xml:space="preserve"> large sites </w:t>
      </w:r>
      <w:bookmarkStart w:id="20" w:name="_Int_SmUWbeBC"/>
      <w:r w:rsidR="00AD1F25" w:rsidRPr="00C629AB">
        <w:rPr>
          <w:rFonts w:ascii="Arial" w:hAnsi="Arial" w:cs="Arial"/>
          <w:b/>
          <w:bCs/>
          <w:sz w:val="24"/>
          <w:szCs w:val="24"/>
        </w:rPr>
        <w:t>with</w:t>
      </w:r>
      <w:bookmarkEnd w:id="20"/>
      <w:r w:rsidR="00AD1F25" w:rsidRPr="00C629AB">
        <w:rPr>
          <w:rFonts w:ascii="Arial" w:hAnsi="Arial" w:cs="Arial"/>
          <w:b/>
          <w:bCs/>
          <w:sz w:val="24"/>
          <w:szCs w:val="24"/>
        </w:rPr>
        <w:t xml:space="preserve"> planning permission</w:t>
      </w:r>
      <w:r w:rsidRPr="00C629AB">
        <w:rPr>
          <w:rFonts w:ascii="Arial" w:hAnsi="Arial" w:cs="Arial"/>
          <w:b/>
          <w:bCs/>
          <w:sz w:val="24"/>
          <w:szCs w:val="24"/>
        </w:rPr>
        <w:t xml:space="preserve"> </w:t>
      </w:r>
      <w:r w:rsidRPr="00C629AB">
        <w:rPr>
          <w:rFonts w:ascii="Arial" w:hAnsi="Arial" w:cs="Arial"/>
          <w:sz w:val="24"/>
          <w:szCs w:val="24"/>
        </w:rPr>
        <w:t>(please see separate PDF document)</w:t>
      </w:r>
      <w:bookmarkEnd w:id="18"/>
    </w:p>
    <w:sectPr w:rsidR="005C4A8E" w:rsidRPr="00C629AB" w:rsidSect="0095355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A830" w14:textId="77777777" w:rsidR="00A0055D" w:rsidRDefault="00A0055D" w:rsidP="00CD0802">
      <w:pPr>
        <w:spacing w:after="0" w:line="240" w:lineRule="auto"/>
      </w:pPr>
      <w:r>
        <w:separator/>
      </w:r>
    </w:p>
  </w:endnote>
  <w:endnote w:type="continuationSeparator" w:id="0">
    <w:p w14:paraId="3DC62ED4" w14:textId="77777777" w:rsidR="00A0055D" w:rsidRDefault="00A0055D" w:rsidP="00CD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3753E" w14:textId="77777777" w:rsidR="00A0055D" w:rsidRDefault="00A0055D" w:rsidP="00CD0802">
      <w:pPr>
        <w:spacing w:after="0" w:line="240" w:lineRule="auto"/>
      </w:pPr>
      <w:r>
        <w:separator/>
      </w:r>
    </w:p>
  </w:footnote>
  <w:footnote w:type="continuationSeparator" w:id="0">
    <w:p w14:paraId="6335D7D0" w14:textId="77777777" w:rsidR="00A0055D" w:rsidRDefault="00A0055D" w:rsidP="00CD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A628" w14:textId="1903AED9" w:rsidR="00CD0802" w:rsidRPr="00C629AB" w:rsidRDefault="00CD0802" w:rsidP="00CD0802">
    <w:pPr>
      <w:rPr>
        <w:rFonts w:ascii="Arial" w:hAnsi="Arial" w:cs="Arial"/>
        <w:b/>
        <w:bCs/>
        <w:sz w:val="24"/>
        <w:szCs w:val="24"/>
      </w:rPr>
    </w:pPr>
    <w:r w:rsidRPr="00C629AB">
      <w:rPr>
        <w:rFonts w:ascii="Arial" w:hAnsi="Arial" w:cs="Arial"/>
        <w:b/>
        <w:bCs/>
        <w:sz w:val="24"/>
        <w:szCs w:val="24"/>
      </w:rPr>
      <w:t>APP/R4408/W/25/3359917 - Land north of Hemingfield Road, Hemingfield, Barnsley: Five Year Land Supply</w:t>
    </w:r>
  </w:p>
  <w:p w14:paraId="582697EE" w14:textId="77777777" w:rsidR="00CD0802" w:rsidRDefault="00CD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3DB4"/>
    <w:multiLevelType w:val="multilevel"/>
    <w:tmpl w:val="E82E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E45EE"/>
    <w:multiLevelType w:val="multilevel"/>
    <w:tmpl w:val="F56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7C446D"/>
    <w:multiLevelType w:val="hybridMultilevel"/>
    <w:tmpl w:val="05D2C1C8"/>
    <w:lvl w:ilvl="0" w:tplc="D054E2AA">
      <w:start w:val="1"/>
      <w:numFmt w:val="decimal"/>
      <w:pStyle w:val="Proof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60270C"/>
    <w:multiLevelType w:val="multilevel"/>
    <w:tmpl w:val="5FEC468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11D15"/>
    <w:multiLevelType w:val="hybridMultilevel"/>
    <w:tmpl w:val="7368BB44"/>
    <w:lvl w:ilvl="0" w:tplc="B1BE513A">
      <w:start w:val="1"/>
      <w:numFmt w:val="decimal"/>
      <w:pStyle w:val="Proofpara"/>
      <w:lvlText w:val="%1."/>
      <w:lvlJc w:val="left"/>
      <w:pPr>
        <w:ind w:left="720" w:hanging="360"/>
      </w:pPr>
      <w:rPr>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B923E2"/>
    <w:multiLevelType w:val="hybridMultilevel"/>
    <w:tmpl w:val="A0541F32"/>
    <w:lvl w:ilvl="0" w:tplc="49E08A7A">
      <w:start w:val="1"/>
      <w:numFmt w:val="decimal"/>
      <w:lvlText w:val="%1."/>
      <w:lvlJc w:val="left"/>
      <w:pPr>
        <w:ind w:left="1778"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F05CF5"/>
    <w:multiLevelType w:val="multilevel"/>
    <w:tmpl w:val="E9727F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341492">
    <w:abstractNumId w:val="6"/>
  </w:num>
  <w:num w:numId="2" w16cid:durableId="789587596">
    <w:abstractNumId w:val="1"/>
  </w:num>
  <w:num w:numId="3" w16cid:durableId="896090727">
    <w:abstractNumId w:val="0"/>
  </w:num>
  <w:num w:numId="4" w16cid:durableId="675890113">
    <w:abstractNumId w:val="3"/>
  </w:num>
  <w:num w:numId="5" w16cid:durableId="1180507191">
    <w:abstractNumId w:val="4"/>
  </w:num>
  <w:num w:numId="6" w16cid:durableId="167257602">
    <w:abstractNumId w:val="5"/>
  </w:num>
  <w:num w:numId="7" w16cid:durableId="187892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FE4793"/>
    <w:rsid w:val="00057D23"/>
    <w:rsid w:val="00095E17"/>
    <w:rsid w:val="000C04F2"/>
    <w:rsid w:val="000E0CD1"/>
    <w:rsid w:val="000F5457"/>
    <w:rsid w:val="00107759"/>
    <w:rsid w:val="00107B0B"/>
    <w:rsid w:val="001158AE"/>
    <w:rsid w:val="00131E45"/>
    <w:rsid w:val="00135FEB"/>
    <w:rsid w:val="00157B85"/>
    <w:rsid w:val="00167918"/>
    <w:rsid w:val="00172B38"/>
    <w:rsid w:val="00175738"/>
    <w:rsid w:val="00182B8B"/>
    <w:rsid w:val="00197776"/>
    <w:rsid w:val="001C47FF"/>
    <w:rsid w:val="001D13EA"/>
    <w:rsid w:val="001D7278"/>
    <w:rsid w:val="001E3987"/>
    <w:rsid w:val="00272B97"/>
    <w:rsid w:val="00273D4D"/>
    <w:rsid w:val="00274FA7"/>
    <w:rsid w:val="00275A79"/>
    <w:rsid w:val="0028331B"/>
    <w:rsid w:val="002A0154"/>
    <w:rsid w:val="002C0FD7"/>
    <w:rsid w:val="002D2545"/>
    <w:rsid w:val="002F3694"/>
    <w:rsid w:val="003134BC"/>
    <w:rsid w:val="00340B91"/>
    <w:rsid w:val="00344D18"/>
    <w:rsid w:val="00362D3F"/>
    <w:rsid w:val="00363D7B"/>
    <w:rsid w:val="00374FD7"/>
    <w:rsid w:val="0037767C"/>
    <w:rsid w:val="003C4537"/>
    <w:rsid w:val="003C788D"/>
    <w:rsid w:val="003F084C"/>
    <w:rsid w:val="003F0BA5"/>
    <w:rsid w:val="003F2342"/>
    <w:rsid w:val="0040725B"/>
    <w:rsid w:val="004155FC"/>
    <w:rsid w:val="00442DFB"/>
    <w:rsid w:val="00486C72"/>
    <w:rsid w:val="004F04AE"/>
    <w:rsid w:val="004F3EA8"/>
    <w:rsid w:val="00503B89"/>
    <w:rsid w:val="00511C4D"/>
    <w:rsid w:val="005235E9"/>
    <w:rsid w:val="005308CC"/>
    <w:rsid w:val="005370EF"/>
    <w:rsid w:val="00542F23"/>
    <w:rsid w:val="00555E38"/>
    <w:rsid w:val="005626D5"/>
    <w:rsid w:val="00570BC6"/>
    <w:rsid w:val="00573DEC"/>
    <w:rsid w:val="005A7949"/>
    <w:rsid w:val="005B0D2A"/>
    <w:rsid w:val="005C3728"/>
    <w:rsid w:val="005C4A8E"/>
    <w:rsid w:val="005E53C3"/>
    <w:rsid w:val="005F58C4"/>
    <w:rsid w:val="00601200"/>
    <w:rsid w:val="00614B80"/>
    <w:rsid w:val="0061536B"/>
    <w:rsid w:val="00624A5D"/>
    <w:rsid w:val="006472D4"/>
    <w:rsid w:val="00675500"/>
    <w:rsid w:val="00686134"/>
    <w:rsid w:val="006A4BA3"/>
    <w:rsid w:val="006B459B"/>
    <w:rsid w:val="006C0D6E"/>
    <w:rsid w:val="00724975"/>
    <w:rsid w:val="0073327C"/>
    <w:rsid w:val="00744392"/>
    <w:rsid w:val="00765B63"/>
    <w:rsid w:val="00795555"/>
    <w:rsid w:val="00797454"/>
    <w:rsid w:val="007A131E"/>
    <w:rsid w:val="00807B94"/>
    <w:rsid w:val="00830C89"/>
    <w:rsid w:val="00833F7B"/>
    <w:rsid w:val="008430C5"/>
    <w:rsid w:val="008603ED"/>
    <w:rsid w:val="008704B4"/>
    <w:rsid w:val="00881F43"/>
    <w:rsid w:val="00887AB3"/>
    <w:rsid w:val="00891240"/>
    <w:rsid w:val="008D76D3"/>
    <w:rsid w:val="008F051C"/>
    <w:rsid w:val="008F4059"/>
    <w:rsid w:val="008F6B88"/>
    <w:rsid w:val="008F6C0B"/>
    <w:rsid w:val="009153C7"/>
    <w:rsid w:val="00917D7F"/>
    <w:rsid w:val="009247F8"/>
    <w:rsid w:val="009267AF"/>
    <w:rsid w:val="0092782F"/>
    <w:rsid w:val="009361C0"/>
    <w:rsid w:val="00952098"/>
    <w:rsid w:val="0095355C"/>
    <w:rsid w:val="00953C89"/>
    <w:rsid w:val="00961E6B"/>
    <w:rsid w:val="009726F3"/>
    <w:rsid w:val="009766B8"/>
    <w:rsid w:val="00995462"/>
    <w:rsid w:val="00A0055D"/>
    <w:rsid w:val="00A00CCD"/>
    <w:rsid w:val="00A70C1B"/>
    <w:rsid w:val="00A72341"/>
    <w:rsid w:val="00A7783C"/>
    <w:rsid w:val="00A9412C"/>
    <w:rsid w:val="00AA1B00"/>
    <w:rsid w:val="00AD1F25"/>
    <w:rsid w:val="00B13B4D"/>
    <w:rsid w:val="00B215F8"/>
    <w:rsid w:val="00B41341"/>
    <w:rsid w:val="00B462A3"/>
    <w:rsid w:val="00B94C27"/>
    <w:rsid w:val="00B9536E"/>
    <w:rsid w:val="00BE754F"/>
    <w:rsid w:val="00BF2F49"/>
    <w:rsid w:val="00BF6152"/>
    <w:rsid w:val="00C16FBF"/>
    <w:rsid w:val="00C17246"/>
    <w:rsid w:val="00C33CF4"/>
    <w:rsid w:val="00C411D6"/>
    <w:rsid w:val="00C41357"/>
    <w:rsid w:val="00C56592"/>
    <w:rsid w:val="00C60497"/>
    <w:rsid w:val="00C629AB"/>
    <w:rsid w:val="00C70C7C"/>
    <w:rsid w:val="00C765D5"/>
    <w:rsid w:val="00CA32E2"/>
    <w:rsid w:val="00CD0802"/>
    <w:rsid w:val="00CD5EEA"/>
    <w:rsid w:val="00D2340B"/>
    <w:rsid w:val="00D304FB"/>
    <w:rsid w:val="00D71422"/>
    <w:rsid w:val="00D731BC"/>
    <w:rsid w:val="00DA70D2"/>
    <w:rsid w:val="00DC2CEE"/>
    <w:rsid w:val="00DC4575"/>
    <w:rsid w:val="00DD6188"/>
    <w:rsid w:val="00DF6061"/>
    <w:rsid w:val="00E17793"/>
    <w:rsid w:val="00E24734"/>
    <w:rsid w:val="00E35DB6"/>
    <w:rsid w:val="00E53B72"/>
    <w:rsid w:val="00E71680"/>
    <w:rsid w:val="00E87C9B"/>
    <w:rsid w:val="00E97667"/>
    <w:rsid w:val="00EB76B9"/>
    <w:rsid w:val="00EC0F5F"/>
    <w:rsid w:val="00F208E4"/>
    <w:rsid w:val="00F3758C"/>
    <w:rsid w:val="00F437A7"/>
    <w:rsid w:val="00F505D6"/>
    <w:rsid w:val="00F64077"/>
    <w:rsid w:val="00F81ABD"/>
    <w:rsid w:val="00F90E3B"/>
    <w:rsid w:val="00FC34E4"/>
    <w:rsid w:val="00FD1389"/>
    <w:rsid w:val="00FD613A"/>
    <w:rsid w:val="00FE7337"/>
    <w:rsid w:val="0AEAAC3C"/>
    <w:rsid w:val="57FE4793"/>
    <w:rsid w:val="6B19A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E4793"/>
  <w15:chartTrackingRefBased/>
  <w15:docId w15:val="{399B1E07-BAA7-427F-B0C0-5E96D56A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roof Heading 2"/>
    <w:basedOn w:val="Normal"/>
    <w:next w:val="Normal"/>
    <w:link w:val="Heading2Char"/>
    <w:uiPriority w:val="9"/>
    <w:unhideWhenUsed/>
    <w:qFormat/>
    <w:rsid w:val="00B13B4D"/>
    <w:pPr>
      <w:keepNext/>
      <w:keepLines/>
      <w:spacing w:before="40" w:after="120"/>
      <w:outlineLvl w:val="1"/>
    </w:pPr>
    <w:rPr>
      <w:rFonts w:ascii="Arial" w:eastAsia="Arial"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802"/>
  </w:style>
  <w:style w:type="paragraph" w:styleId="Footer">
    <w:name w:val="footer"/>
    <w:basedOn w:val="Normal"/>
    <w:link w:val="FooterChar"/>
    <w:uiPriority w:val="99"/>
    <w:unhideWhenUsed/>
    <w:rsid w:val="00CD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802"/>
  </w:style>
  <w:style w:type="paragraph" w:customStyle="1" w:styleId="Default">
    <w:name w:val="Default"/>
    <w:rsid w:val="00273D4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aliases w:val="Proof Heading 2 Char"/>
    <w:basedOn w:val="DefaultParagraphFont"/>
    <w:link w:val="Heading2"/>
    <w:uiPriority w:val="9"/>
    <w:rsid w:val="00B13B4D"/>
    <w:rPr>
      <w:rFonts w:ascii="Arial" w:eastAsia="Arial" w:hAnsi="Arial" w:cstheme="majorBidi"/>
      <w:b/>
      <w:sz w:val="28"/>
      <w:szCs w:val="26"/>
    </w:rPr>
  </w:style>
  <w:style w:type="paragraph" w:customStyle="1" w:styleId="Proofpara">
    <w:name w:val="Proof para"/>
    <w:basedOn w:val="Normal"/>
    <w:link w:val="ProofparaChar"/>
    <w:qFormat/>
    <w:rsid w:val="00B13B4D"/>
    <w:pPr>
      <w:numPr>
        <w:numId w:val="5"/>
      </w:numPr>
      <w:spacing w:after="240"/>
      <w:ind w:hanging="720"/>
    </w:pPr>
    <w:rPr>
      <w:rFonts w:ascii="Arial" w:hAnsi="Arial"/>
      <w:sz w:val="24"/>
    </w:rPr>
  </w:style>
  <w:style w:type="character" w:customStyle="1" w:styleId="ProofparaChar">
    <w:name w:val="Proof para Char"/>
    <w:basedOn w:val="DefaultParagraphFont"/>
    <w:link w:val="Proofpara"/>
    <w:rsid w:val="00B13B4D"/>
    <w:rPr>
      <w:rFonts w:ascii="Arial" w:hAnsi="Arial"/>
      <w:sz w:val="24"/>
    </w:rPr>
  </w:style>
  <w:style w:type="character" w:customStyle="1" w:styleId="normaltextrun">
    <w:name w:val="normaltextrun"/>
    <w:basedOn w:val="DefaultParagraphFont"/>
    <w:rsid w:val="00B41341"/>
  </w:style>
  <w:style w:type="paragraph" w:styleId="ListParagraph">
    <w:name w:val="List Paragraph"/>
    <w:aliases w:val="F5 List Paragraph,List Paragraph1,List Paragraph11"/>
    <w:basedOn w:val="Normal"/>
    <w:link w:val="ListParagraphChar"/>
    <w:uiPriority w:val="34"/>
    <w:qFormat/>
    <w:rsid w:val="0073327C"/>
    <w:pPr>
      <w:spacing w:after="0" w:line="240" w:lineRule="auto"/>
      <w:ind w:left="720"/>
    </w:pPr>
    <w:rPr>
      <w:rFonts w:ascii="Times New Roman" w:eastAsia="Times New Roman" w:hAnsi="Times New Roman" w:cs="Times New Roman"/>
      <w:sz w:val="24"/>
      <w:szCs w:val="24"/>
      <w:lang w:val="en-GB"/>
    </w:rPr>
  </w:style>
  <w:style w:type="character" w:customStyle="1" w:styleId="ListParagraphChar">
    <w:name w:val="List Paragraph Char"/>
    <w:aliases w:val="F5 List Paragraph Char,List Paragraph1 Char,List Paragraph11 Char"/>
    <w:link w:val="ListParagraph"/>
    <w:uiPriority w:val="34"/>
    <w:locked/>
    <w:rsid w:val="0073327C"/>
    <w:rPr>
      <w:rFonts w:ascii="Times New Roman" w:eastAsia="Times New Roman" w:hAnsi="Times New Roman" w:cs="Times New Roman"/>
      <w:sz w:val="24"/>
      <w:szCs w:val="24"/>
      <w:lang w:val="en-GB"/>
    </w:rPr>
  </w:style>
  <w:style w:type="character" w:customStyle="1" w:styleId="eop">
    <w:name w:val="eop"/>
    <w:basedOn w:val="DefaultParagraphFont"/>
    <w:rsid w:val="0073327C"/>
  </w:style>
  <w:style w:type="paragraph" w:customStyle="1" w:styleId="Proofheading">
    <w:name w:val="Proof heading"/>
    <w:basedOn w:val="Heading1"/>
    <w:link w:val="ProofheadingChar"/>
    <w:qFormat/>
    <w:rsid w:val="005C4A8E"/>
    <w:pPr>
      <w:numPr>
        <w:numId w:val="7"/>
      </w:numPr>
      <w:spacing w:line="360" w:lineRule="auto"/>
      <w:ind w:left="357" w:hanging="357"/>
    </w:pPr>
    <w:rPr>
      <w:rFonts w:ascii="Arial" w:hAnsi="Arial" w:cs="Arial"/>
      <w:b/>
      <w:color w:val="000000" w:themeColor="text1"/>
    </w:rPr>
  </w:style>
  <w:style w:type="character" w:customStyle="1" w:styleId="ProofheadingChar">
    <w:name w:val="Proof heading Char"/>
    <w:basedOn w:val="Heading1Char"/>
    <w:link w:val="Proofheading"/>
    <w:rsid w:val="005C4A8E"/>
    <w:rPr>
      <w:rFonts w:ascii="Arial" w:eastAsiaTheme="majorEastAsia" w:hAnsi="Arial" w:cs="Arial"/>
      <w:b/>
      <w:color w:val="000000" w:themeColor="text1"/>
      <w:sz w:val="32"/>
      <w:szCs w:val="32"/>
    </w:rPr>
  </w:style>
  <w:style w:type="character" w:customStyle="1" w:styleId="Heading1Char">
    <w:name w:val="Heading 1 Char"/>
    <w:basedOn w:val="DefaultParagraphFont"/>
    <w:link w:val="Heading1"/>
    <w:uiPriority w:val="9"/>
    <w:rsid w:val="005C4A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682380">
      <w:bodyDiv w:val="1"/>
      <w:marLeft w:val="0"/>
      <w:marRight w:val="0"/>
      <w:marTop w:val="0"/>
      <w:marBottom w:val="0"/>
      <w:divBdr>
        <w:top w:val="none" w:sz="0" w:space="0" w:color="auto"/>
        <w:left w:val="none" w:sz="0" w:space="0" w:color="auto"/>
        <w:bottom w:val="none" w:sz="0" w:space="0" w:color="auto"/>
        <w:right w:val="none" w:sz="0" w:space="0" w:color="auto"/>
      </w:divBdr>
    </w:div>
    <w:div w:id="562789931">
      <w:bodyDiv w:val="1"/>
      <w:marLeft w:val="0"/>
      <w:marRight w:val="0"/>
      <w:marTop w:val="0"/>
      <w:marBottom w:val="0"/>
      <w:divBdr>
        <w:top w:val="none" w:sz="0" w:space="0" w:color="auto"/>
        <w:left w:val="none" w:sz="0" w:space="0" w:color="auto"/>
        <w:bottom w:val="none" w:sz="0" w:space="0" w:color="auto"/>
        <w:right w:val="none" w:sz="0" w:space="0" w:color="auto"/>
      </w:divBdr>
    </w:div>
    <w:div w:id="683819933">
      <w:bodyDiv w:val="1"/>
      <w:marLeft w:val="0"/>
      <w:marRight w:val="0"/>
      <w:marTop w:val="0"/>
      <w:marBottom w:val="0"/>
      <w:divBdr>
        <w:top w:val="none" w:sz="0" w:space="0" w:color="auto"/>
        <w:left w:val="none" w:sz="0" w:space="0" w:color="auto"/>
        <w:bottom w:val="none" w:sz="0" w:space="0" w:color="auto"/>
        <w:right w:val="none" w:sz="0" w:space="0" w:color="auto"/>
      </w:divBdr>
    </w:div>
    <w:div w:id="739449967">
      <w:bodyDiv w:val="1"/>
      <w:marLeft w:val="0"/>
      <w:marRight w:val="0"/>
      <w:marTop w:val="0"/>
      <w:marBottom w:val="0"/>
      <w:divBdr>
        <w:top w:val="none" w:sz="0" w:space="0" w:color="auto"/>
        <w:left w:val="none" w:sz="0" w:space="0" w:color="auto"/>
        <w:bottom w:val="none" w:sz="0" w:space="0" w:color="auto"/>
        <w:right w:val="none" w:sz="0" w:space="0" w:color="auto"/>
      </w:divBdr>
    </w:div>
    <w:div w:id="844393957">
      <w:bodyDiv w:val="1"/>
      <w:marLeft w:val="0"/>
      <w:marRight w:val="0"/>
      <w:marTop w:val="0"/>
      <w:marBottom w:val="0"/>
      <w:divBdr>
        <w:top w:val="none" w:sz="0" w:space="0" w:color="auto"/>
        <w:left w:val="none" w:sz="0" w:space="0" w:color="auto"/>
        <w:bottom w:val="none" w:sz="0" w:space="0" w:color="auto"/>
        <w:right w:val="none" w:sz="0" w:space="0" w:color="auto"/>
      </w:divBdr>
    </w:div>
    <w:div w:id="917783478">
      <w:bodyDiv w:val="1"/>
      <w:marLeft w:val="0"/>
      <w:marRight w:val="0"/>
      <w:marTop w:val="0"/>
      <w:marBottom w:val="0"/>
      <w:divBdr>
        <w:top w:val="none" w:sz="0" w:space="0" w:color="auto"/>
        <w:left w:val="none" w:sz="0" w:space="0" w:color="auto"/>
        <w:bottom w:val="none" w:sz="0" w:space="0" w:color="auto"/>
        <w:right w:val="none" w:sz="0" w:space="0" w:color="auto"/>
      </w:divBdr>
      <w:divsChild>
        <w:div w:id="1813016919">
          <w:marLeft w:val="0"/>
          <w:marRight w:val="0"/>
          <w:marTop w:val="0"/>
          <w:marBottom w:val="0"/>
          <w:divBdr>
            <w:top w:val="none" w:sz="0" w:space="0" w:color="auto"/>
            <w:left w:val="none" w:sz="0" w:space="0" w:color="auto"/>
            <w:bottom w:val="none" w:sz="0" w:space="0" w:color="auto"/>
            <w:right w:val="none" w:sz="0" w:space="0" w:color="auto"/>
          </w:divBdr>
          <w:divsChild>
            <w:div w:id="1769227851">
              <w:marLeft w:val="0"/>
              <w:marRight w:val="0"/>
              <w:marTop w:val="0"/>
              <w:marBottom w:val="0"/>
              <w:divBdr>
                <w:top w:val="none" w:sz="0" w:space="0" w:color="auto"/>
                <w:left w:val="none" w:sz="0" w:space="0" w:color="auto"/>
                <w:bottom w:val="none" w:sz="0" w:space="0" w:color="auto"/>
                <w:right w:val="none" w:sz="0" w:space="0" w:color="auto"/>
              </w:divBdr>
            </w:div>
            <w:div w:id="1187867246">
              <w:marLeft w:val="0"/>
              <w:marRight w:val="0"/>
              <w:marTop w:val="0"/>
              <w:marBottom w:val="0"/>
              <w:divBdr>
                <w:top w:val="none" w:sz="0" w:space="0" w:color="auto"/>
                <w:left w:val="none" w:sz="0" w:space="0" w:color="auto"/>
                <w:bottom w:val="none" w:sz="0" w:space="0" w:color="auto"/>
                <w:right w:val="none" w:sz="0" w:space="0" w:color="auto"/>
              </w:divBdr>
            </w:div>
            <w:div w:id="657080427">
              <w:marLeft w:val="0"/>
              <w:marRight w:val="0"/>
              <w:marTop w:val="0"/>
              <w:marBottom w:val="0"/>
              <w:divBdr>
                <w:top w:val="none" w:sz="0" w:space="0" w:color="auto"/>
                <w:left w:val="none" w:sz="0" w:space="0" w:color="auto"/>
                <w:bottom w:val="none" w:sz="0" w:space="0" w:color="auto"/>
                <w:right w:val="none" w:sz="0" w:space="0" w:color="auto"/>
              </w:divBdr>
            </w:div>
          </w:divsChild>
        </w:div>
        <w:div w:id="208147766">
          <w:marLeft w:val="0"/>
          <w:marRight w:val="0"/>
          <w:marTop w:val="0"/>
          <w:marBottom w:val="0"/>
          <w:divBdr>
            <w:top w:val="none" w:sz="0" w:space="0" w:color="auto"/>
            <w:left w:val="none" w:sz="0" w:space="0" w:color="auto"/>
            <w:bottom w:val="none" w:sz="0" w:space="0" w:color="auto"/>
            <w:right w:val="none" w:sz="0" w:space="0" w:color="auto"/>
          </w:divBdr>
          <w:divsChild>
            <w:div w:id="283312829">
              <w:marLeft w:val="-75"/>
              <w:marRight w:val="0"/>
              <w:marTop w:val="30"/>
              <w:marBottom w:val="30"/>
              <w:divBdr>
                <w:top w:val="none" w:sz="0" w:space="0" w:color="auto"/>
                <w:left w:val="none" w:sz="0" w:space="0" w:color="auto"/>
                <w:bottom w:val="none" w:sz="0" w:space="0" w:color="auto"/>
                <w:right w:val="none" w:sz="0" w:space="0" w:color="auto"/>
              </w:divBdr>
              <w:divsChild>
                <w:div w:id="1544752196">
                  <w:marLeft w:val="0"/>
                  <w:marRight w:val="0"/>
                  <w:marTop w:val="0"/>
                  <w:marBottom w:val="0"/>
                  <w:divBdr>
                    <w:top w:val="none" w:sz="0" w:space="0" w:color="auto"/>
                    <w:left w:val="none" w:sz="0" w:space="0" w:color="auto"/>
                    <w:bottom w:val="none" w:sz="0" w:space="0" w:color="auto"/>
                    <w:right w:val="none" w:sz="0" w:space="0" w:color="auto"/>
                  </w:divBdr>
                  <w:divsChild>
                    <w:div w:id="850875594">
                      <w:marLeft w:val="0"/>
                      <w:marRight w:val="0"/>
                      <w:marTop w:val="0"/>
                      <w:marBottom w:val="0"/>
                      <w:divBdr>
                        <w:top w:val="none" w:sz="0" w:space="0" w:color="auto"/>
                        <w:left w:val="none" w:sz="0" w:space="0" w:color="auto"/>
                        <w:bottom w:val="none" w:sz="0" w:space="0" w:color="auto"/>
                        <w:right w:val="none" w:sz="0" w:space="0" w:color="auto"/>
                      </w:divBdr>
                    </w:div>
                  </w:divsChild>
                </w:div>
                <w:div w:id="1169713387">
                  <w:marLeft w:val="0"/>
                  <w:marRight w:val="0"/>
                  <w:marTop w:val="0"/>
                  <w:marBottom w:val="0"/>
                  <w:divBdr>
                    <w:top w:val="none" w:sz="0" w:space="0" w:color="auto"/>
                    <w:left w:val="none" w:sz="0" w:space="0" w:color="auto"/>
                    <w:bottom w:val="none" w:sz="0" w:space="0" w:color="auto"/>
                    <w:right w:val="none" w:sz="0" w:space="0" w:color="auto"/>
                  </w:divBdr>
                  <w:divsChild>
                    <w:div w:id="585964354">
                      <w:marLeft w:val="0"/>
                      <w:marRight w:val="0"/>
                      <w:marTop w:val="0"/>
                      <w:marBottom w:val="0"/>
                      <w:divBdr>
                        <w:top w:val="none" w:sz="0" w:space="0" w:color="auto"/>
                        <w:left w:val="none" w:sz="0" w:space="0" w:color="auto"/>
                        <w:bottom w:val="none" w:sz="0" w:space="0" w:color="auto"/>
                        <w:right w:val="none" w:sz="0" w:space="0" w:color="auto"/>
                      </w:divBdr>
                    </w:div>
                  </w:divsChild>
                </w:div>
                <w:div w:id="1553688446">
                  <w:marLeft w:val="0"/>
                  <w:marRight w:val="0"/>
                  <w:marTop w:val="0"/>
                  <w:marBottom w:val="0"/>
                  <w:divBdr>
                    <w:top w:val="none" w:sz="0" w:space="0" w:color="auto"/>
                    <w:left w:val="none" w:sz="0" w:space="0" w:color="auto"/>
                    <w:bottom w:val="none" w:sz="0" w:space="0" w:color="auto"/>
                    <w:right w:val="none" w:sz="0" w:space="0" w:color="auto"/>
                  </w:divBdr>
                  <w:divsChild>
                    <w:div w:id="468517574">
                      <w:marLeft w:val="0"/>
                      <w:marRight w:val="0"/>
                      <w:marTop w:val="0"/>
                      <w:marBottom w:val="0"/>
                      <w:divBdr>
                        <w:top w:val="none" w:sz="0" w:space="0" w:color="auto"/>
                        <w:left w:val="none" w:sz="0" w:space="0" w:color="auto"/>
                        <w:bottom w:val="none" w:sz="0" w:space="0" w:color="auto"/>
                        <w:right w:val="none" w:sz="0" w:space="0" w:color="auto"/>
                      </w:divBdr>
                    </w:div>
                  </w:divsChild>
                </w:div>
                <w:div w:id="1331367720">
                  <w:marLeft w:val="0"/>
                  <w:marRight w:val="0"/>
                  <w:marTop w:val="0"/>
                  <w:marBottom w:val="0"/>
                  <w:divBdr>
                    <w:top w:val="none" w:sz="0" w:space="0" w:color="auto"/>
                    <w:left w:val="none" w:sz="0" w:space="0" w:color="auto"/>
                    <w:bottom w:val="none" w:sz="0" w:space="0" w:color="auto"/>
                    <w:right w:val="none" w:sz="0" w:space="0" w:color="auto"/>
                  </w:divBdr>
                  <w:divsChild>
                    <w:div w:id="1735812836">
                      <w:marLeft w:val="0"/>
                      <w:marRight w:val="0"/>
                      <w:marTop w:val="0"/>
                      <w:marBottom w:val="0"/>
                      <w:divBdr>
                        <w:top w:val="none" w:sz="0" w:space="0" w:color="auto"/>
                        <w:left w:val="none" w:sz="0" w:space="0" w:color="auto"/>
                        <w:bottom w:val="none" w:sz="0" w:space="0" w:color="auto"/>
                        <w:right w:val="none" w:sz="0" w:space="0" w:color="auto"/>
                      </w:divBdr>
                    </w:div>
                  </w:divsChild>
                </w:div>
                <w:div w:id="667027830">
                  <w:marLeft w:val="0"/>
                  <w:marRight w:val="0"/>
                  <w:marTop w:val="0"/>
                  <w:marBottom w:val="0"/>
                  <w:divBdr>
                    <w:top w:val="none" w:sz="0" w:space="0" w:color="auto"/>
                    <w:left w:val="none" w:sz="0" w:space="0" w:color="auto"/>
                    <w:bottom w:val="none" w:sz="0" w:space="0" w:color="auto"/>
                    <w:right w:val="none" w:sz="0" w:space="0" w:color="auto"/>
                  </w:divBdr>
                  <w:divsChild>
                    <w:div w:id="26831480">
                      <w:marLeft w:val="0"/>
                      <w:marRight w:val="0"/>
                      <w:marTop w:val="0"/>
                      <w:marBottom w:val="0"/>
                      <w:divBdr>
                        <w:top w:val="none" w:sz="0" w:space="0" w:color="auto"/>
                        <w:left w:val="none" w:sz="0" w:space="0" w:color="auto"/>
                        <w:bottom w:val="none" w:sz="0" w:space="0" w:color="auto"/>
                        <w:right w:val="none" w:sz="0" w:space="0" w:color="auto"/>
                      </w:divBdr>
                    </w:div>
                  </w:divsChild>
                </w:div>
                <w:div w:id="1458329346">
                  <w:marLeft w:val="0"/>
                  <w:marRight w:val="0"/>
                  <w:marTop w:val="0"/>
                  <w:marBottom w:val="0"/>
                  <w:divBdr>
                    <w:top w:val="none" w:sz="0" w:space="0" w:color="auto"/>
                    <w:left w:val="none" w:sz="0" w:space="0" w:color="auto"/>
                    <w:bottom w:val="none" w:sz="0" w:space="0" w:color="auto"/>
                    <w:right w:val="none" w:sz="0" w:space="0" w:color="auto"/>
                  </w:divBdr>
                  <w:divsChild>
                    <w:div w:id="141040934">
                      <w:marLeft w:val="0"/>
                      <w:marRight w:val="0"/>
                      <w:marTop w:val="0"/>
                      <w:marBottom w:val="0"/>
                      <w:divBdr>
                        <w:top w:val="none" w:sz="0" w:space="0" w:color="auto"/>
                        <w:left w:val="none" w:sz="0" w:space="0" w:color="auto"/>
                        <w:bottom w:val="none" w:sz="0" w:space="0" w:color="auto"/>
                        <w:right w:val="none" w:sz="0" w:space="0" w:color="auto"/>
                      </w:divBdr>
                    </w:div>
                  </w:divsChild>
                </w:div>
                <w:div w:id="531964285">
                  <w:marLeft w:val="0"/>
                  <w:marRight w:val="0"/>
                  <w:marTop w:val="0"/>
                  <w:marBottom w:val="0"/>
                  <w:divBdr>
                    <w:top w:val="none" w:sz="0" w:space="0" w:color="auto"/>
                    <w:left w:val="none" w:sz="0" w:space="0" w:color="auto"/>
                    <w:bottom w:val="none" w:sz="0" w:space="0" w:color="auto"/>
                    <w:right w:val="none" w:sz="0" w:space="0" w:color="auto"/>
                  </w:divBdr>
                  <w:divsChild>
                    <w:div w:id="105396329">
                      <w:marLeft w:val="0"/>
                      <w:marRight w:val="0"/>
                      <w:marTop w:val="0"/>
                      <w:marBottom w:val="0"/>
                      <w:divBdr>
                        <w:top w:val="none" w:sz="0" w:space="0" w:color="auto"/>
                        <w:left w:val="none" w:sz="0" w:space="0" w:color="auto"/>
                        <w:bottom w:val="none" w:sz="0" w:space="0" w:color="auto"/>
                        <w:right w:val="none" w:sz="0" w:space="0" w:color="auto"/>
                      </w:divBdr>
                    </w:div>
                  </w:divsChild>
                </w:div>
                <w:div w:id="847719226">
                  <w:marLeft w:val="0"/>
                  <w:marRight w:val="0"/>
                  <w:marTop w:val="0"/>
                  <w:marBottom w:val="0"/>
                  <w:divBdr>
                    <w:top w:val="none" w:sz="0" w:space="0" w:color="auto"/>
                    <w:left w:val="none" w:sz="0" w:space="0" w:color="auto"/>
                    <w:bottom w:val="none" w:sz="0" w:space="0" w:color="auto"/>
                    <w:right w:val="none" w:sz="0" w:space="0" w:color="auto"/>
                  </w:divBdr>
                  <w:divsChild>
                    <w:div w:id="1531409891">
                      <w:marLeft w:val="0"/>
                      <w:marRight w:val="0"/>
                      <w:marTop w:val="0"/>
                      <w:marBottom w:val="0"/>
                      <w:divBdr>
                        <w:top w:val="none" w:sz="0" w:space="0" w:color="auto"/>
                        <w:left w:val="none" w:sz="0" w:space="0" w:color="auto"/>
                        <w:bottom w:val="none" w:sz="0" w:space="0" w:color="auto"/>
                        <w:right w:val="none" w:sz="0" w:space="0" w:color="auto"/>
                      </w:divBdr>
                    </w:div>
                  </w:divsChild>
                </w:div>
                <w:div w:id="1207596873">
                  <w:marLeft w:val="0"/>
                  <w:marRight w:val="0"/>
                  <w:marTop w:val="0"/>
                  <w:marBottom w:val="0"/>
                  <w:divBdr>
                    <w:top w:val="none" w:sz="0" w:space="0" w:color="auto"/>
                    <w:left w:val="none" w:sz="0" w:space="0" w:color="auto"/>
                    <w:bottom w:val="none" w:sz="0" w:space="0" w:color="auto"/>
                    <w:right w:val="none" w:sz="0" w:space="0" w:color="auto"/>
                  </w:divBdr>
                  <w:divsChild>
                    <w:div w:id="1947350395">
                      <w:marLeft w:val="0"/>
                      <w:marRight w:val="0"/>
                      <w:marTop w:val="0"/>
                      <w:marBottom w:val="0"/>
                      <w:divBdr>
                        <w:top w:val="none" w:sz="0" w:space="0" w:color="auto"/>
                        <w:left w:val="none" w:sz="0" w:space="0" w:color="auto"/>
                        <w:bottom w:val="none" w:sz="0" w:space="0" w:color="auto"/>
                        <w:right w:val="none" w:sz="0" w:space="0" w:color="auto"/>
                      </w:divBdr>
                    </w:div>
                  </w:divsChild>
                </w:div>
                <w:div w:id="587229255">
                  <w:marLeft w:val="0"/>
                  <w:marRight w:val="0"/>
                  <w:marTop w:val="0"/>
                  <w:marBottom w:val="0"/>
                  <w:divBdr>
                    <w:top w:val="none" w:sz="0" w:space="0" w:color="auto"/>
                    <w:left w:val="none" w:sz="0" w:space="0" w:color="auto"/>
                    <w:bottom w:val="none" w:sz="0" w:space="0" w:color="auto"/>
                    <w:right w:val="none" w:sz="0" w:space="0" w:color="auto"/>
                  </w:divBdr>
                  <w:divsChild>
                    <w:div w:id="1330133844">
                      <w:marLeft w:val="0"/>
                      <w:marRight w:val="0"/>
                      <w:marTop w:val="0"/>
                      <w:marBottom w:val="0"/>
                      <w:divBdr>
                        <w:top w:val="none" w:sz="0" w:space="0" w:color="auto"/>
                        <w:left w:val="none" w:sz="0" w:space="0" w:color="auto"/>
                        <w:bottom w:val="none" w:sz="0" w:space="0" w:color="auto"/>
                        <w:right w:val="none" w:sz="0" w:space="0" w:color="auto"/>
                      </w:divBdr>
                    </w:div>
                  </w:divsChild>
                </w:div>
                <w:div w:id="1746877651">
                  <w:marLeft w:val="0"/>
                  <w:marRight w:val="0"/>
                  <w:marTop w:val="0"/>
                  <w:marBottom w:val="0"/>
                  <w:divBdr>
                    <w:top w:val="none" w:sz="0" w:space="0" w:color="auto"/>
                    <w:left w:val="none" w:sz="0" w:space="0" w:color="auto"/>
                    <w:bottom w:val="none" w:sz="0" w:space="0" w:color="auto"/>
                    <w:right w:val="none" w:sz="0" w:space="0" w:color="auto"/>
                  </w:divBdr>
                  <w:divsChild>
                    <w:div w:id="399721006">
                      <w:marLeft w:val="0"/>
                      <w:marRight w:val="0"/>
                      <w:marTop w:val="0"/>
                      <w:marBottom w:val="0"/>
                      <w:divBdr>
                        <w:top w:val="none" w:sz="0" w:space="0" w:color="auto"/>
                        <w:left w:val="none" w:sz="0" w:space="0" w:color="auto"/>
                        <w:bottom w:val="none" w:sz="0" w:space="0" w:color="auto"/>
                        <w:right w:val="none" w:sz="0" w:space="0" w:color="auto"/>
                      </w:divBdr>
                    </w:div>
                  </w:divsChild>
                </w:div>
                <w:div w:id="1296451333">
                  <w:marLeft w:val="0"/>
                  <w:marRight w:val="0"/>
                  <w:marTop w:val="0"/>
                  <w:marBottom w:val="0"/>
                  <w:divBdr>
                    <w:top w:val="none" w:sz="0" w:space="0" w:color="auto"/>
                    <w:left w:val="none" w:sz="0" w:space="0" w:color="auto"/>
                    <w:bottom w:val="none" w:sz="0" w:space="0" w:color="auto"/>
                    <w:right w:val="none" w:sz="0" w:space="0" w:color="auto"/>
                  </w:divBdr>
                  <w:divsChild>
                    <w:div w:id="398215315">
                      <w:marLeft w:val="0"/>
                      <w:marRight w:val="0"/>
                      <w:marTop w:val="0"/>
                      <w:marBottom w:val="0"/>
                      <w:divBdr>
                        <w:top w:val="none" w:sz="0" w:space="0" w:color="auto"/>
                        <w:left w:val="none" w:sz="0" w:space="0" w:color="auto"/>
                        <w:bottom w:val="none" w:sz="0" w:space="0" w:color="auto"/>
                        <w:right w:val="none" w:sz="0" w:space="0" w:color="auto"/>
                      </w:divBdr>
                    </w:div>
                  </w:divsChild>
                </w:div>
                <w:div w:id="1495997461">
                  <w:marLeft w:val="0"/>
                  <w:marRight w:val="0"/>
                  <w:marTop w:val="0"/>
                  <w:marBottom w:val="0"/>
                  <w:divBdr>
                    <w:top w:val="none" w:sz="0" w:space="0" w:color="auto"/>
                    <w:left w:val="none" w:sz="0" w:space="0" w:color="auto"/>
                    <w:bottom w:val="none" w:sz="0" w:space="0" w:color="auto"/>
                    <w:right w:val="none" w:sz="0" w:space="0" w:color="auto"/>
                  </w:divBdr>
                  <w:divsChild>
                    <w:div w:id="738525400">
                      <w:marLeft w:val="0"/>
                      <w:marRight w:val="0"/>
                      <w:marTop w:val="0"/>
                      <w:marBottom w:val="0"/>
                      <w:divBdr>
                        <w:top w:val="none" w:sz="0" w:space="0" w:color="auto"/>
                        <w:left w:val="none" w:sz="0" w:space="0" w:color="auto"/>
                        <w:bottom w:val="none" w:sz="0" w:space="0" w:color="auto"/>
                        <w:right w:val="none" w:sz="0" w:space="0" w:color="auto"/>
                      </w:divBdr>
                    </w:div>
                  </w:divsChild>
                </w:div>
                <w:div w:id="1062025657">
                  <w:marLeft w:val="0"/>
                  <w:marRight w:val="0"/>
                  <w:marTop w:val="0"/>
                  <w:marBottom w:val="0"/>
                  <w:divBdr>
                    <w:top w:val="none" w:sz="0" w:space="0" w:color="auto"/>
                    <w:left w:val="none" w:sz="0" w:space="0" w:color="auto"/>
                    <w:bottom w:val="none" w:sz="0" w:space="0" w:color="auto"/>
                    <w:right w:val="none" w:sz="0" w:space="0" w:color="auto"/>
                  </w:divBdr>
                  <w:divsChild>
                    <w:div w:id="1374884123">
                      <w:marLeft w:val="0"/>
                      <w:marRight w:val="0"/>
                      <w:marTop w:val="0"/>
                      <w:marBottom w:val="0"/>
                      <w:divBdr>
                        <w:top w:val="none" w:sz="0" w:space="0" w:color="auto"/>
                        <w:left w:val="none" w:sz="0" w:space="0" w:color="auto"/>
                        <w:bottom w:val="none" w:sz="0" w:space="0" w:color="auto"/>
                        <w:right w:val="none" w:sz="0" w:space="0" w:color="auto"/>
                      </w:divBdr>
                    </w:div>
                  </w:divsChild>
                </w:div>
                <w:div w:id="46491172">
                  <w:marLeft w:val="0"/>
                  <w:marRight w:val="0"/>
                  <w:marTop w:val="0"/>
                  <w:marBottom w:val="0"/>
                  <w:divBdr>
                    <w:top w:val="none" w:sz="0" w:space="0" w:color="auto"/>
                    <w:left w:val="none" w:sz="0" w:space="0" w:color="auto"/>
                    <w:bottom w:val="none" w:sz="0" w:space="0" w:color="auto"/>
                    <w:right w:val="none" w:sz="0" w:space="0" w:color="auto"/>
                  </w:divBdr>
                  <w:divsChild>
                    <w:div w:id="342054781">
                      <w:marLeft w:val="0"/>
                      <w:marRight w:val="0"/>
                      <w:marTop w:val="0"/>
                      <w:marBottom w:val="0"/>
                      <w:divBdr>
                        <w:top w:val="none" w:sz="0" w:space="0" w:color="auto"/>
                        <w:left w:val="none" w:sz="0" w:space="0" w:color="auto"/>
                        <w:bottom w:val="none" w:sz="0" w:space="0" w:color="auto"/>
                        <w:right w:val="none" w:sz="0" w:space="0" w:color="auto"/>
                      </w:divBdr>
                    </w:div>
                  </w:divsChild>
                </w:div>
                <w:div w:id="960574949">
                  <w:marLeft w:val="0"/>
                  <w:marRight w:val="0"/>
                  <w:marTop w:val="0"/>
                  <w:marBottom w:val="0"/>
                  <w:divBdr>
                    <w:top w:val="none" w:sz="0" w:space="0" w:color="auto"/>
                    <w:left w:val="none" w:sz="0" w:space="0" w:color="auto"/>
                    <w:bottom w:val="none" w:sz="0" w:space="0" w:color="auto"/>
                    <w:right w:val="none" w:sz="0" w:space="0" w:color="auto"/>
                  </w:divBdr>
                  <w:divsChild>
                    <w:div w:id="693384787">
                      <w:marLeft w:val="0"/>
                      <w:marRight w:val="0"/>
                      <w:marTop w:val="0"/>
                      <w:marBottom w:val="0"/>
                      <w:divBdr>
                        <w:top w:val="none" w:sz="0" w:space="0" w:color="auto"/>
                        <w:left w:val="none" w:sz="0" w:space="0" w:color="auto"/>
                        <w:bottom w:val="none" w:sz="0" w:space="0" w:color="auto"/>
                        <w:right w:val="none" w:sz="0" w:space="0" w:color="auto"/>
                      </w:divBdr>
                    </w:div>
                  </w:divsChild>
                </w:div>
                <w:div w:id="735250738">
                  <w:marLeft w:val="0"/>
                  <w:marRight w:val="0"/>
                  <w:marTop w:val="0"/>
                  <w:marBottom w:val="0"/>
                  <w:divBdr>
                    <w:top w:val="none" w:sz="0" w:space="0" w:color="auto"/>
                    <w:left w:val="none" w:sz="0" w:space="0" w:color="auto"/>
                    <w:bottom w:val="none" w:sz="0" w:space="0" w:color="auto"/>
                    <w:right w:val="none" w:sz="0" w:space="0" w:color="auto"/>
                  </w:divBdr>
                  <w:divsChild>
                    <w:div w:id="6387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9018">
          <w:marLeft w:val="0"/>
          <w:marRight w:val="0"/>
          <w:marTop w:val="0"/>
          <w:marBottom w:val="0"/>
          <w:divBdr>
            <w:top w:val="none" w:sz="0" w:space="0" w:color="auto"/>
            <w:left w:val="none" w:sz="0" w:space="0" w:color="auto"/>
            <w:bottom w:val="none" w:sz="0" w:space="0" w:color="auto"/>
            <w:right w:val="none" w:sz="0" w:space="0" w:color="auto"/>
          </w:divBdr>
        </w:div>
        <w:div w:id="681978593">
          <w:marLeft w:val="0"/>
          <w:marRight w:val="0"/>
          <w:marTop w:val="0"/>
          <w:marBottom w:val="0"/>
          <w:divBdr>
            <w:top w:val="none" w:sz="0" w:space="0" w:color="auto"/>
            <w:left w:val="none" w:sz="0" w:space="0" w:color="auto"/>
            <w:bottom w:val="none" w:sz="0" w:space="0" w:color="auto"/>
            <w:right w:val="none" w:sz="0" w:space="0" w:color="auto"/>
          </w:divBdr>
        </w:div>
        <w:div w:id="257641822">
          <w:marLeft w:val="0"/>
          <w:marRight w:val="0"/>
          <w:marTop w:val="0"/>
          <w:marBottom w:val="0"/>
          <w:divBdr>
            <w:top w:val="none" w:sz="0" w:space="0" w:color="auto"/>
            <w:left w:val="none" w:sz="0" w:space="0" w:color="auto"/>
            <w:bottom w:val="none" w:sz="0" w:space="0" w:color="auto"/>
            <w:right w:val="none" w:sz="0" w:space="0" w:color="auto"/>
          </w:divBdr>
        </w:div>
      </w:divsChild>
    </w:div>
    <w:div w:id="1117286646">
      <w:bodyDiv w:val="1"/>
      <w:marLeft w:val="0"/>
      <w:marRight w:val="0"/>
      <w:marTop w:val="0"/>
      <w:marBottom w:val="0"/>
      <w:divBdr>
        <w:top w:val="none" w:sz="0" w:space="0" w:color="auto"/>
        <w:left w:val="none" w:sz="0" w:space="0" w:color="auto"/>
        <w:bottom w:val="none" w:sz="0" w:space="0" w:color="auto"/>
        <w:right w:val="none" w:sz="0" w:space="0" w:color="auto"/>
      </w:divBdr>
    </w:div>
    <w:div w:id="1171217416">
      <w:bodyDiv w:val="1"/>
      <w:marLeft w:val="0"/>
      <w:marRight w:val="0"/>
      <w:marTop w:val="0"/>
      <w:marBottom w:val="0"/>
      <w:divBdr>
        <w:top w:val="none" w:sz="0" w:space="0" w:color="auto"/>
        <w:left w:val="none" w:sz="0" w:space="0" w:color="auto"/>
        <w:bottom w:val="none" w:sz="0" w:space="0" w:color="auto"/>
        <w:right w:val="none" w:sz="0" w:space="0" w:color="auto"/>
      </w:divBdr>
    </w:div>
    <w:div w:id="1360155546">
      <w:bodyDiv w:val="1"/>
      <w:marLeft w:val="0"/>
      <w:marRight w:val="0"/>
      <w:marTop w:val="0"/>
      <w:marBottom w:val="0"/>
      <w:divBdr>
        <w:top w:val="none" w:sz="0" w:space="0" w:color="auto"/>
        <w:left w:val="none" w:sz="0" w:space="0" w:color="auto"/>
        <w:bottom w:val="none" w:sz="0" w:space="0" w:color="auto"/>
        <w:right w:val="none" w:sz="0" w:space="0" w:color="auto"/>
      </w:divBdr>
    </w:div>
    <w:div w:id="1897353368">
      <w:bodyDiv w:val="1"/>
      <w:marLeft w:val="0"/>
      <w:marRight w:val="0"/>
      <w:marTop w:val="0"/>
      <w:marBottom w:val="0"/>
      <w:divBdr>
        <w:top w:val="none" w:sz="0" w:space="0" w:color="auto"/>
        <w:left w:val="none" w:sz="0" w:space="0" w:color="auto"/>
        <w:bottom w:val="none" w:sz="0" w:space="0" w:color="auto"/>
        <w:right w:val="none" w:sz="0" w:space="0" w:color="auto"/>
      </w:divBdr>
      <w:divsChild>
        <w:div w:id="349644851">
          <w:marLeft w:val="0"/>
          <w:marRight w:val="0"/>
          <w:marTop w:val="0"/>
          <w:marBottom w:val="0"/>
          <w:divBdr>
            <w:top w:val="none" w:sz="0" w:space="0" w:color="auto"/>
            <w:left w:val="none" w:sz="0" w:space="0" w:color="auto"/>
            <w:bottom w:val="none" w:sz="0" w:space="0" w:color="auto"/>
            <w:right w:val="none" w:sz="0" w:space="0" w:color="auto"/>
          </w:divBdr>
          <w:divsChild>
            <w:div w:id="1669745750">
              <w:marLeft w:val="0"/>
              <w:marRight w:val="0"/>
              <w:marTop w:val="0"/>
              <w:marBottom w:val="0"/>
              <w:divBdr>
                <w:top w:val="none" w:sz="0" w:space="0" w:color="auto"/>
                <w:left w:val="none" w:sz="0" w:space="0" w:color="auto"/>
                <w:bottom w:val="none" w:sz="0" w:space="0" w:color="auto"/>
                <w:right w:val="none" w:sz="0" w:space="0" w:color="auto"/>
              </w:divBdr>
            </w:div>
            <w:div w:id="235017750">
              <w:marLeft w:val="0"/>
              <w:marRight w:val="0"/>
              <w:marTop w:val="0"/>
              <w:marBottom w:val="0"/>
              <w:divBdr>
                <w:top w:val="none" w:sz="0" w:space="0" w:color="auto"/>
                <w:left w:val="none" w:sz="0" w:space="0" w:color="auto"/>
                <w:bottom w:val="none" w:sz="0" w:space="0" w:color="auto"/>
                <w:right w:val="none" w:sz="0" w:space="0" w:color="auto"/>
              </w:divBdr>
            </w:div>
            <w:div w:id="1389183378">
              <w:marLeft w:val="0"/>
              <w:marRight w:val="0"/>
              <w:marTop w:val="0"/>
              <w:marBottom w:val="0"/>
              <w:divBdr>
                <w:top w:val="none" w:sz="0" w:space="0" w:color="auto"/>
                <w:left w:val="none" w:sz="0" w:space="0" w:color="auto"/>
                <w:bottom w:val="none" w:sz="0" w:space="0" w:color="auto"/>
                <w:right w:val="none" w:sz="0" w:space="0" w:color="auto"/>
              </w:divBdr>
            </w:div>
          </w:divsChild>
        </w:div>
        <w:div w:id="1983151841">
          <w:marLeft w:val="0"/>
          <w:marRight w:val="0"/>
          <w:marTop w:val="0"/>
          <w:marBottom w:val="0"/>
          <w:divBdr>
            <w:top w:val="none" w:sz="0" w:space="0" w:color="auto"/>
            <w:left w:val="none" w:sz="0" w:space="0" w:color="auto"/>
            <w:bottom w:val="none" w:sz="0" w:space="0" w:color="auto"/>
            <w:right w:val="none" w:sz="0" w:space="0" w:color="auto"/>
          </w:divBdr>
          <w:divsChild>
            <w:div w:id="299654831">
              <w:marLeft w:val="-75"/>
              <w:marRight w:val="0"/>
              <w:marTop w:val="30"/>
              <w:marBottom w:val="30"/>
              <w:divBdr>
                <w:top w:val="none" w:sz="0" w:space="0" w:color="auto"/>
                <w:left w:val="none" w:sz="0" w:space="0" w:color="auto"/>
                <w:bottom w:val="none" w:sz="0" w:space="0" w:color="auto"/>
                <w:right w:val="none" w:sz="0" w:space="0" w:color="auto"/>
              </w:divBdr>
              <w:divsChild>
                <w:div w:id="964576551">
                  <w:marLeft w:val="0"/>
                  <w:marRight w:val="0"/>
                  <w:marTop w:val="0"/>
                  <w:marBottom w:val="0"/>
                  <w:divBdr>
                    <w:top w:val="none" w:sz="0" w:space="0" w:color="auto"/>
                    <w:left w:val="none" w:sz="0" w:space="0" w:color="auto"/>
                    <w:bottom w:val="none" w:sz="0" w:space="0" w:color="auto"/>
                    <w:right w:val="none" w:sz="0" w:space="0" w:color="auto"/>
                  </w:divBdr>
                  <w:divsChild>
                    <w:div w:id="1187329339">
                      <w:marLeft w:val="0"/>
                      <w:marRight w:val="0"/>
                      <w:marTop w:val="0"/>
                      <w:marBottom w:val="0"/>
                      <w:divBdr>
                        <w:top w:val="none" w:sz="0" w:space="0" w:color="auto"/>
                        <w:left w:val="none" w:sz="0" w:space="0" w:color="auto"/>
                        <w:bottom w:val="none" w:sz="0" w:space="0" w:color="auto"/>
                        <w:right w:val="none" w:sz="0" w:space="0" w:color="auto"/>
                      </w:divBdr>
                    </w:div>
                  </w:divsChild>
                </w:div>
                <w:div w:id="880939985">
                  <w:marLeft w:val="0"/>
                  <w:marRight w:val="0"/>
                  <w:marTop w:val="0"/>
                  <w:marBottom w:val="0"/>
                  <w:divBdr>
                    <w:top w:val="none" w:sz="0" w:space="0" w:color="auto"/>
                    <w:left w:val="none" w:sz="0" w:space="0" w:color="auto"/>
                    <w:bottom w:val="none" w:sz="0" w:space="0" w:color="auto"/>
                    <w:right w:val="none" w:sz="0" w:space="0" w:color="auto"/>
                  </w:divBdr>
                  <w:divsChild>
                    <w:div w:id="14431754">
                      <w:marLeft w:val="0"/>
                      <w:marRight w:val="0"/>
                      <w:marTop w:val="0"/>
                      <w:marBottom w:val="0"/>
                      <w:divBdr>
                        <w:top w:val="none" w:sz="0" w:space="0" w:color="auto"/>
                        <w:left w:val="none" w:sz="0" w:space="0" w:color="auto"/>
                        <w:bottom w:val="none" w:sz="0" w:space="0" w:color="auto"/>
                        <w:right w:val="none" w:sz="0" w:space="0" w:color="auto"/>
                      </w:divBdr>
                    </w:div>
                  </w:divsChild>
                </w:div>
                <w:div w:id="33772603">
                  <w:marLeft w:val="0"/>
                  <w:marRight w:val="0"/>
                  <w:marTop w:val="0"/>
                  <w:marBottom w:val="0"/>
                  <w:divBdr>
                    <w:top w:val="none" w:sz="0" w:space="0" w:color="auto"/>
                    <w:left w:val="none" w:sz="0" w:space="0" w:color="auto"/>
                    <w:bottom w:val="none" w:sz="0" w:space="0" w:color="auto"/>
                    <w:right w:val="none" w:sz="0" w:space="0" w:color="auto"/>
                  </w:divBdr>
                  <w:divsChild>
                    <w:div w:id="1310788615">
                      <w:marLeft w:val="0"/>
                      <w:marRight w:val="0"/>
                      <w:marTop w:val="0"/>
                      <w:marBottom w:val="0"/>
                      <w:divBdr>
                        <w:top w:val="none" w:sz="0" w:space="0" w:color="auto"/>
                        <w:left w:val="none" w:sz="0" w:space="0" w:color="auto"/>
                        <w:bottom w:val="none" w:sz="0" w:space="0" w:color="auto"/>
                        <w:right w:val="none" w:sz="0" w:space="0" w:color="auto"/>
                      </w:divBdr>
                    </w:div>
                  </w:divsChild>
                </w:div>
                <w:div w:id="168912963">
                  <w:marLeft w:val="0"/>
                  <w:marRight w:val="0"/>
                  <w:marTop w:val="0"/>
                  <w:marBottom w:val="0"/>
                  <w:divBdr>
                    <w:top w:val="none" w:sz="0" w:space="0" w:color="auto"/>
                    <w:left w:val="none" w:sz="0" w:space="0" w:color="auto"/>
                    <w:bottom w:val="none" w:sz="0" w:space="0" w:color="auto"/>
                    <w:right w:val="none" w:sz="0" w:space="0" w:color="auto"/>
                  </w:divBdr>
                  <w:divsChild>
                    <w:div w:id="2130661929">
                      <w:marLeft w:val="0"/>
                      <w:marRight w:val="0"/>
                      <w:marTop w:val="0"/>
                      <w:marBottom w:val="0"/>
                      <w:divBdr>
                        <w:top w:val="none" w:sz="0" w:space="0" w:color="auto"/>
                        <w:left w:val="none" w:sz="0" w:space="0" w:color="auto"/>
                        <w:bottom w:val="none" w:sz="0" w:space="0" w:color="auto"/>
                        <w:right w:val="none" w:sz="0" w:space="0" w:color="auto"/>
                      </w:divBdr>
                    </w:div>
                  </w:divsChild>
                </w:div>
                <w:div w:id="1830704495">
                  <w:marLeft w:val="0"/>
                  <w:marRight w:val="0"/>
                  <w:marTop w:val="0"/>
                  <w:marBottom w:val="0"/>
                  <w:divBdr>
                    <w:top w:val="none" w:sz="0" w:space="0" w:color="auto"/>
                    <w:left w:val="none" w:sz="0" w:space="0" w:color="auto"/>
                    <w:bottom w:val="none" w:sz="0" w:space="0" w:color="auto"/>
                    <w:right w:val="none" w:sz="0" w:space="0" w:color="auto"/>
                  </w:divBdr>
                  <w:divsChild>
                    <w:div w:id="1970817819">
                      <w:marLeft w:val="0"/>
                      <w:marRight w:val="0"/>
                      <w:marTop w:val="0"/>
                      <w:marBottom w:val="0"/>
                      <w:divBdr>
                        <w:top w:val="none" w:sz="0" w:space="0" w:color="auto"/>
                        <w:left w:val="none" w:sz="0" w:space="0" w:color="auto"/>
                        <w:bottom w:val="none" w:sz="0" w:space="0" w:color="auto"/>
                        <w:right w:val="none" w:sz="0" w:space="0" w:color="auto"/>
                      </w:divBdr>
                    </w:div>
                  </w:divsChild>
                </w:div>
                <w:div w:id="109708603">
                  <w:marLeft w:val="0"/>
                  <w:marRight w:val="0"/>
                  <w:marTop w:val="0"/>
                  <w:marBottom w:val="0"/>
                  <w:divBdr>
                    <w:top w:val="none" w:sz="0" w:space="0" w:color="auto"/>
                    <w:left w:val="none" w:sz="0" w:space="0" w:color="auto"/>
                    <w:bottom w:val="none" w:sz="0" w:space="0" w:color="auto"/>
                    <w:right w:val="none" w:sz="0" w:space="0" w:color="auto"/>
                  </w:divBdr>
                  <w:divsChild>
                    <w:div w:id="613904732">
                      <w:marLeft w:val="0"/>
                      <w:marRight w:val="0"/>
                      <w:marTop w:val="0"/>
                      <w:marBottom w:val="0"/>
                      <w:divBdr>
                        <w:top w:val="none" w:sz="0" w:space="0" w:color="auto"/>
                        <w:left w:val="none" w:sz="0" w:space="0" w:color="auto"/>
                        <w:bottom w:val="none" w:sz="0" w:space="0" w:color="auto"/>
                        <w:right w:val="none" w:sz="0" w:space="0" w:color="auto"/>
                      </w:divBdr>
                    </w:div>
                  </w:divsChild>
                </w:div>
                <w:div w:id="1908489794">
                  <w:marLeft w:val="0"/>
                  <w:marRight w:val="0"/>
                  <w:marTop w:val="0"/>
                  <w:marBottom w:val="0"/>
                  <w:divBdr>
                    <w:top w:val="none" w:sz="0" w:space="0" w:color="auto"/>
                    <w:left w:val="none" w:sz="0" w:space="0" w:color="auto"/>
                    <w:bottom w:val="none" w:sz="0" w:space="0" w:color="auto"/>
                    <w:right w:val="none" w:sz="0" w:space="0" w:color="auto"/>
                  </w:divBdr>
                  <w:divsChild>
                    <w:div w:id="1092582301">
                      <w:marLeft w:val="0"/>
                      <w:marRight w:val="0"/>
                      <w:marTop w:val="0"/>
                      <w:marBottom w:val="0"/>
                      <w:divBdr>
                        <w:top w:val="none" w:sz="0" w:space="0" w:color="auto"/>
                        <w:left w:val="none" w:sz="0" w:space="0" w:color="auto"/>
                        <w:bottom w:val="none" w:sz="0" w:space="0" w:color="auto"/>
                        <w:right w:val="none" w:sz="0" w:space="0" w:color="auto"/>
                      </w:divBdr>
                    </w:div>
                  </w:divsChild>
                </w:div>
                <w:div w:id="673069034">
                  <w:marLeft w:val="0"/>
                  <w:marRight w:val="0"/>
                  <w:marTop w:val="0"/>
                  <w:marBottom w:val="0"/>
                  <w:divBdr>
                    <w:top w:val="none" w:sz="0" w:space="0" w:color="auto"/>
                    <w:left w:val="none" w:sz="0" w:space="0" w:color="auto"/>
                    <w:bottom w:val="none" w:sz="0" w:space="0" w:color="auto"/>
                    <w:right w:val="none" w:sz="0" w:space="0" w:color="auto"/>
                  </w:divBdr>
                  <w:divsChild>
                    <w:div w:id="306861680">
                      <w:marLeft w:val="0"/>
                      <w:marRight w:val="0"/>
                      <w:marTop w:val="0"/>
                      <w:marBottom w:val="0"/>
                      <w:divBdr>
                        <w:top w:val="none" w:sz="0" w:space="0" w:color="auto"/>
                        <w:left w:val="none" w:sz="0" w:space="0" w:color="auto"/>
                        <w:bottom w:val="none" w:sz="0" w:space="0" w:color="auto"/>
                        <w:right w:val="none" w:sz="0" w:space="0" w:color="auto"/>
                      </w:divBdr>
                    </w:div>
                  </w:divsChild>
                </w:div>
                <w:div w:id="1367217889">
                  <w:marLeft w:val="0"/>
                  <w:marRight w:val="0"/>
                  <w:marTop w:val="0"/>
                  <w:marBottom w:val="0"/>
                  <w:divBdr>
                    <w:top w:val="none" w:sz="0" w:space="0" w:color="auto"/>
                    <w:left w:val="none" w:sz="0" w:space="0" w:color="auto"/>
                    <w:bottom w:val="none" w:sz="0" w:space="0" w:color="auto"/>
                    <w:right w:val="none" w:sz="0" w:space="0" w:color="auto"/>
                  </w:divBdr>
                  <w:divsChild>
                    <w:div w:id="863978336">
                      <w:marLeft w:val="0"/>
                      <w:marRight w:val="0"/>
                      <w:marTop w:val="0"/>
                      <w:marBottom w:val="0"/>
                      <w:divBdr>
                        <w:top w:val="none" w:sz="0" w:space="0" w:color="auto"/>
                        <w:left w:val="none" w:sz="0" w:space="0" w:color="auto"/>
                        <w:bottom w:val="none" w:sz="0" w:space="0" w:color="auto"/>
                        <w:right w:val="none" w:sz="0" w:space="0" w:color="auto"/>
                      </w:divBdr>
                    </w:div>
                  </w:divsChild>
                </w:div>
                <w:div w:id="1149636554">
                  <w:marLeft w:val="0"/>
                  <w:marRight w:val="0"/>
                  <w:marTop w:val="0"/>
                  <w:marBottom w:val="0"/>
                  <w:divBdr>
                    <w:top w:val="none" w:sz="0" w:space="0" w:color="auto"/>
                    <w:left w:val="none" w:sz="0" w:space="0" w:color="auto"/>
                    <w:bottom w:val="none" w:sz="0" w:space="0" w:color="auto"/>
                    <w:right w:val="none" w:sz="0" w:space="0" w:color="auto"/>
                  </w:divBdr>
                  <w:divsChild>
                    <w:div w:id="1024406343">
                      <w:marLeft w:val="0"/>
                      <w:marRight w:val="0"/>
                      <w:marTop w:val="0"/>
                      <w:marBottom w:val="0"/>
                      <w:divBdr>
                        <w:top w:val="none" w:sz="0" w:space="0" w:color="auto"/>
                        <w:left w:val="none" w:sz="0" w:space="0" w:color="auto"/>
                        <w:bottom w:val="none" w:sz="0" w:space="0" w:color="auto"/>
                        <w:right w:val="none" w:sz="0" w:space="0" w:color="auto"/>
                      </w:divBdr>
                    </w:div>
                  </w:divsChild>
                </w:div>
                <w:div w:id="31349025">
                  <w:marLeft w:val="0"/>
                  <w:marRight w:val="0"/>
                  <w:marTop w:val="0"/>
                  <w:marBottom w:val="0"/>
                  <w:divBdr>
                    <w:top w:val="none" w:sz="0" w:space="0" w:color="auto"/>
                    <w:left w:val="none" w:sz="0" w:space="0" w:color="auto"/>
                    <w:bottom w:val="none" w:sz="0" w:space="0" w:color="auto"/>
                    <w:right w:val="none" w:sz="0" w:space="0" w:color="auto"/>
                  </w:divBdr>
                  <w:divsChild>
                    <w:div w:id="928082301">
                      <w:marLeft w:val="0"/>
                      <w:marRight w:val="0"/>
                      <w:marTop w:val="0"/>
                      <w:marBottom w:val="0"/>
                      <w:divBdr>
                        <w:top w:val="none" w:sz="0" w:space="0" w:color="auto"/>
                        <w:left w:val="none" w:sz="0" w:space="0" w:color="auto"/>
                        <w:bottom w:val="none" w:sz="0" w:space="0" w:color="auto"/>
                        <w:right w:val="none" w:sz="0" w:space="0" w:color="auto"/>
                      </w:divBdr>
                    </w:div>
                  </w:divsChild>
                </w:div>
                <w:div w:id="670521634">
                  <w:marLeft w:val="0"/>
                  <w:marRight w:val="0"/>
                  <w:marTop w:val="0"/>
                  <w:marBottom w:val="0"/>
                  <w:divBdr>
                    <w:top w:val="none" w:sz="0" w:space="0" w:color="auto"/>
                    <w:left w:val="none" w:sz="0" w:space="0" w:color="auto"/>
                    <w:bottom w:val="none" w:sz="0" w:space="0" w:color="auto"/>
                    <w:right w:val="none" w:sz="0" w:space="0" w:color="auto"/>
                  </w:divBdr>
                  <w:divsChild>
                    <w:div w:id="1935283462">
                      <w:marLeft w:val="0"/>
                      <w:marRight w:val="0"/>
                      <w:marTop w:val="0"/>
                      <w:marBottom w:val="0"/>
                      <w:divBdr>
                        <w:top w:val="none" w:sz="0" w:space="0" w:color="auto"/>
                        <w:left w:val="none" w:sz="0" w:space="0" w:color="auto"/>
                        <w:bottom w:val="none" w:sz="0" w:space="0" w:color="auto"/>
                        <w:right w:val="none" w:sz="0" w:space="0" w:color="auto"/>
                      </w:divBdr>
                    </w:div>
                  </w:divsChild>
                </w:div>
                <w:div w:id="2060665333">
                  <w:marLeft w:val="0"/>
                  <w:marRight w:val="0"/>
                  <w:marTop w:val="0"/>
                  <w:marBottom w:val="0"/>
                  <w:divBdr>
                    <w:top w:val="none" w:sz="0" w:space="0" w:color="auto"/>
                    <w:left w:val="none" w:sz="0" w:space="0" w:color="auto"/>
                    <w:bottom w:val="none" w:sz="0" w:space="0" w:color="auto"/>
                    <w:right w:val="none" w:sz="0" w:space="0" w:color="auto"/>
                  </w:divBdr>
                  <w:divsChild>
                    <w:div w:id="405494870">
                      <w:marLeft w:val="0"/>
                      <w:marRight w:val="0"/>
                      <w:marTop w:val="0"/>
                      <w:marBottom w:val="0"/>
                      <w:divBdr>
                        <w:top w:val="none" w:sz="0" w:space="0" w:color="auto"/>
                        <w:left w:val="none" w:sz="0" w:space="0" w:color="auto"/>
                        <w:bottom w:val="none" w:sz="0" w:space="0" w:color="auto"/>
                        <w:right w:val="none" w:sz="0" w:space="0" w:color="auto"/>
                      </w:divBdr>
                    </w:div>
                  </w:divsChild>
                </w:div>
                <w:div w:id="865875869">
                  <w:marLeft w:val="0"/>
                  <w:marRight w:val="0"/>
                  <w:marTop w:val="0"/>
                  <w:marBottom w:val="0"/>
                  <w:divBdr>
                    <w:top w:val="none" w:sz="0" w:space="0" w:color="auto"/>
                    <w:left w:val="none" w:sz="0" w:space="0" w:color="auto"/>
                    <w:bottom w:val="none" w:sz="0" w:space="0" w:color="auto"/>
                    <w:right w:val="none" w:sz="0" w:space="0" w:color="auto"/>
                  </w:divBdr>
                  <w:divsChild>
                    <w:div w:id="43723900">
                      <w:marLeft w:val="0"/>
                      <w:marRight w:val="0"/>
                      <w:marTop w:val="0"/>
                      <w:marBottom w:val="0"/>
                      <w:divBdr>
                        <w:top w:val="none" w:sz="0" w:space="0" w:color="auto"/>
                        <w:left w:val="none" w:sz="0" w:space="0" w:color="auto"/>
                        <w:bottom w:val="none" w:sz="0" w:space="0" w:color="auto"/>
                        <w:right w:val="none" w:sz="0" w:space="0" w:color="auto"/>
                      </w:divBdr>
                    </w:div>
                  </w:divsChild>
                </w:div>
                <w:div w:id="1950353927">
                  <w:marLeft w:val="0"/>
                  <w:marRight w:val="0"/>
                  <w:marTop w:val="0"/>
                  <w:marBottom w:val="0"/>
                  <w:divBdr>
                    <w:top w:val="none" w:sz="0" w:space="0" w:color="auto"/>
                    <w:left w:val="none" w:sz="0" w:space="0" w:color="auto"/>
                    <w:bottom w:val="none" w:sz="0" w:space="0" w:color="auto"/>
                    <w:right w:val="none" w:sz="0" w:space="0" w:color="auto"/>
                  </w:divBdr>
                  <w:divsChild>
                    <w:div w:id="156003082">
                      <w:marLeft w:val="0"/>
                      <w:marRight w:val="0"/>
                      <w:marTop w:val="0"/>
                      <w:marBottom w:val="0"/>
                      <w:divBdr>
                        <w:top w:val="none" w:sz="0" w:space="0" w:color="auto"/>
                        <w:left w:val="none" w:sz="0" w:space="0" w:color="auto"/>
                        <w:bottom w:val="none" w:sz="0" w:space="0" w:color="auto"/>
                        <w:right w:val="none" w:sz="0" w:space="0" w:color="auto"/>
                      </w:divBdr>
                    </w:div>
                  </w:divsChild>
                </w:div>
                <w:div w:id="1037509572">
                  <w:marLeft w:val="0"/>
                  <w:marRight w:val="0"/>
                  <w:marTop w:val="0"/>
                  <w:marBottom w:val="0"/>
                  <w:divBdr>
                    <w:top w:val="none" w:sz="0" w:space="0" w:color="auto"/>
                    <w:left w:val="none" w:sz="0" w:space="0" w:color="auto"/>
                    <w:bottom w:val="none" w:sz="0" w:space="0" w:color="auto"/>
                    <w:right w:val="none" w:sz="0" w:space="0" w:color="auto"/>
                  </w:divBdr>
                  <w:divsChild>
                    <w:div w:id="1247613241">
                      <w:marLeft w:val="0"/>
                      <w:marRight w:val="0"/>
                      <w:marTop w:val="0"/>
                      <w:marBottom w:val="0"/>
                      <w:divBdr>
                        <w:top w:val="none" w:sz="0" w:space="0" w:color="auto"/>
                        <w:left w:val="none" w:sz="0" w:space="0" w:color="auto"/>
                        <w:bottom w:val="none" w:sz="0" w:space="0" w:color="auto"/>
                        <w:right w:val="none" w:sz="0" w:space="0" w:color="auto"/>
                      </w:divBdr>
                    </w:div>
                  </w:divsChild>
                </w:div>
                <w:div w:id="1717508454">
                  <w:marLeft w:val="0"/>
                  <w:marRight w:val="0"/>
                  <w:marTop w:val="0"/>
                  <w:marBottom w:val="0"/>
                  <w:divBdr>
                    <w:top w:val="none" w:sz="0" w:space="0" w:color="auto"/>
                    <w:left w:val="none" w:sz="0" w:space="0" w:color="auto"/>
                    <w:bottom w:val="none" w:sz="0" w:space="0" w:color="auto"/>
                    <w:right w:val="none" w:sz="0" w:space="0" w:color="auto"/>
                  </w:divBdr>
                  <w:divsChild>
                    <w:div w:id="6884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7630">
          <w:marLeft w:val="0"/>
          <w:marRight w:val="0"/>
          <w:marTop w:val="0"/>
          <w:marBottom w:val="0"/>
          <w:divBdr>
            <w:top w:val="none" w:sz="0" w:space="0" w:color="auto"/>
            <w:left w:val="none" w:sz="0" w:space="0" w:color="auto"/>
            <w:bottom w:val="none" w:sz="0" w:space="0" w:color="auto"/>
            <w:right w:val="none" w:sz="0" w:space="0" w:color="auto"/>
          </w:divBdr>
        </w:div>
        <w:div w:id="863790682">
          <w:marLeft w:val="0"/>
          <w:marRight w:val="0"/>
          <w:marTop w:val="0"/>
          <w:marBottom w:val="0"/>
          <w:divBdr>
            <w:top w:val="none" w:sz="0" w:space="0" w:color="auto"/>
            <w:left w:val="none" w:sz="0" w:space="0" w:color="auto"/>
            <w:bottom w:val="none" w:sz="0" w:space="0" w:color="auto"/>
            <w:right w:val="none" w:sz="0" w:space="0" w:color="auto"/>
          </w:divBdr>
        </w:div>
        <w:div w:id="96104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 xsi:nil="true"/>
    <TaxCatchAll xmlns="f4edfb27-fdcf-4944-9520-fd54d4f1d725" xsi:nil="true"/>
    <_Flow_SignoffStatus xmlns="0cd06ba8-3d0c-4461-b1b9-cc99cc46e70a" xsi:nil="true"/>
    <CategoryDescription xmlns="http://schemas.microsoft.com/sharepoint.v3" xsi:nil="true"/>
    <Public xmlns="f4edfb27-fdcf-4944-9520-fd54d4f1d725">false</Publ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6402C-94D9-492B-8634-F2EA6E604641}">
  <ds:schemaRefs>
    <ds:schemaRef ds:uri="http://schemas.microsoft.com/office/2006/metadata/properties"/>
    <ds:schemaRef ds:uri="http://schemas.microsoft.com/office/infopath/2007/PartnerControls"/>
    <ds:schemaRef ds:uri="http://schemas.microsoft.com/sharepoint.v3"/>
    <ds:schemaRef ds:uri="e66e32f7-30bb-4f95-8930-dd7b0934b0cc"/>
    <ds:schemaRef ds:uri="f4edfb27-fdcf-4944-9520-fd54d4f1d725"/>
  </ds:schemaRefs>
</ds:datastoreItem>
</file>

<file path=customXml/itemProps2.xml><?xml version="1.0" encoding="utf-8"?>
<ds:datastoreItem xmlns:ds="http://schemas.openxmlformats.org/officeDocument/2006/customXml" ds:itemID="{0B18EDBF-FE37-4680-9DD7-7B7E71E050E3}"/>
</file>

<file path=customXml/itemProps3.xml><?xml version="1.0" encoding="utf-8"?>
<ds:datastoreItem xmlns:ds="http://schemas.openxmlformats.org/officeDocument/2006/customXml" ds:itemID="{8F9DE8D2-50CD-4A60-8C0C-17FDD4896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1787</Words>
  <Characters>10187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Coveney , Emma (SENIOR PLANNING OFFICER)</dc:creator>
  <cp:keywords/>
  <dc:description/>
  <cp:lastModifiedBy>Matthew Padgett</cp:lastModifiedBy>
  <cp:revision>2</cp:revision>
  <dcterms:created xsi:type="dcterms:W3CDTF">2025-04-25T14:03:00Z</dcterms:created>
  <dcterms:modified xsi:type="dcterms:W3CDTF">2025-04-25T14:03:00Z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